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bCs w:val="1"/>
          <w:color w:val="000000"/>
          <w:sz w:val="36"/>
          <w:szCs w:val="36"/>
        </w:rPr>
      </w:pPr>
      <w:r w:rsidDel="00000000" w:rsidR="00000000" w:rsidRPr="00000000">
        <w:rPr>
          <w:rFonts w:ascii="Arial" w:cs="Arial" w:eastAsia="Arial" w:hAnsi="Arial"/>
          <w:b w:val="1"/>
          <w:bCs w:val="1"/>
          <w:color w:val="000000"/>
          <w:sz w:val="36"/>
          <w:szCs w:val="36"/>
          <w:rtl w:val="0"/>
        </w:rPr>
        <w:t xml:space="preserve">Joint Schedule 11 (Processing Data)</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04">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 Guidance: Buyers should consider including Call Off Schedule 9 (Security) to ensure their Call-Off Contract contains adequate security measures in order to protect Personal Data in compliance with Annex B of the GDPR PPN 03/22]</w:t>
      </w:r>
    </w:p>
    <w:p w:rsidR="00000000" w:rsidDel="00000000" w:rsidP="00000000" w:rsidRDefault="00000000" w:rsidRPr="00000000" w14:paraId="00000005">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bCs w:val="1"/>
          <w:color w:val="000000"/>
          <w:sz w:val="36"/>
          <w:szCs w:val="36"/>
        </w:rPr>
      </w:pPr>
      <w:r w:rsidDel="00000000" w:rsidR="00000000" w:rsidRPr="00000000">
        <w:rPr>
          <w:rtl w:val="0"/>
        </w:rPr>
      </w:r>
    </w:p>
    <w:p w:rsidR="00000000" w:rsidDel="00000000" w:rsidP="00000000" w:rsidRDefault="00000000" w:rsidRPr="00000000" w14:paraId="00000006">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Definitions</w:t>
      </w:r>
    </w:p>
    <w:p w:rsidR="00000000" w:rsidDel="00000000" w:rsidP="00000000" w:rsidRDefault="00000000" w:rsidRPr="00000000" w14:paraId="00000007">
      <w:pPr>
        <w:numPr>
          <w:ilvl w:val="1"/>
          <w:numId w:val="5"/>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b w:val="1"/>
          <w:bCs w:val="1"/>
          <w:sz w:val="24"/>
          <w:szCs w:val="24"/>
        </w:rPr>
      </w:pPr>
      <w:r w:rsidDel="00000000" w:rsidR="00000000" w:rsidRPr="00000000">
        <w:rPr>
          <w:rFonts w:ascii="Arial" w:cs="Arial" w:eastAsia="Arial" w:hAnsi="Arial"/>
          <w:sz w:val="24"/>
          <w:szCs w:val="24"/>
          <w:rtl w:val="0"/>
        </w:rPr>
        <w:t xml:space="preserve">In this Schedule, the following words shall have the following meanings and they shall supplement Joint Schedule 1 (Definitions):</w:t>
      </w:r>
      <w:r w:rsidDel="00000000" w:rsidR="00000000" w:rsidRPr="00000000">
        <w:rPr>
          <w:rtl w:val="0"/>
        </w:rPr>
      </w:r>
    </w:p>
    <w:tbl>
      <w:tblPr>
        <w:tblStyle w:val="Table1"/>
        <w:tblW w:w="9016.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263"/>
        <w:gridCol w:w="6753"/>
        <w:tblGridChange w:id="0">
          <w:tblGrid>
            <w:gridCol w:w="2263"/>
            <w:gridCol w:w="6753"/>
          </w:tblGrid>
        </w:tblGridChange>
      </w:tblGrid>
      <w:tr>
        <w:trPr>
          <w:cantSplit w:val="0"/>
          <w:tblHeader w:val="0"/>
        </w:trPr>
        <w:tc>
          <w:tcPr/>
          <w:p w:rsidR="00000000" w:rsidDel="00000000" w:rsidP="00000000" w:rsidRDefault="00000000" w:rsidRPr="00000000" w14:paraId="00000008">
            <w:pPr>
              <w:keepNext w:val="1"/>
              <w:pBdr>
                <w:top w:space="0" w:sz="0" w:val="nil"/>
                <w:left w:space="0" w:sz="0" w:val="nil"/>
                <w:bottom w:space="0" w:sz="0" w:val="nil"/>
                <w:right w:space="0" w:sz="0" w:val="nil"/>
                <w:between w:space="0" w:sz="0" w:val="nil"/>
              </w:pBdr>
              <w:spacing w:after="220" w:lineRule="auto"/>
              <w:jc w:val="both"/>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“EU GDPR”</w:t>
            </w:r>
          </w:p>
        </w:tc>
        <w:tc>
          <w:tcPr/>
          <w:p w:rsidR="00000000" w:rsidDel="00000000" w:rsidP="00000000" w:rsidRDefault="00000000" w:rsidRPr="00000000" w14:paraId="00000009">
            <w:pPr>
              <w:keepNext w:val="1"/>
              <w:pBdr>
                <w:top w:space="0" w:sz="0" w:val="nil"/>
                <w:left w:space="0" w:sz="0" w:val="nil"/>
                <w:bottom w:space="0" w:sz="0" w:val="nil"/>
                <w:right w:space="0" w:sz="0" w:val="nil"/>
                <w:between w:space="0" w:sz="0" w:val="nil"/>
              </w:pBdr>
              <w:spacing w:after="22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General Data Protection Regulation ((EU) 2016/679);</w:t>
            </w:r>
          </w:p>
        </w:tc>
      </w:tr>
      <w:tr>
        <w:trPr>
          <w:cantSplit w:val="0"/>
          <w:tblHeader w:val="0"/>
        </w:trPr>
        <w:tc>
          <w:tcPr/>
          <w:p w:rsidR="00000000" w:rsidDel="00000000" w:rsidP="00000000" w:rsidRDefault="00000000" w:rsidRPr="00000000" w14:paraId="0000000A">
            <w:pPr>
              <w:keepNext w:val="1"/>
              <w:pBdr>
                <w:top w:space="0" w:sz="0" w:val="nil"/>
                <w:left w:space="0" w:sz="0" w:val="nil"/>
                <w:bottom w:space="0" w:sz="0" w:val="nil"/>
                <w:right w:space="0" w:sz="0" w:val="nil"/>
                <w:between w:space="0" w:sz="0" w:val="nil"/>
              </w:pBdr>
              <w:spacing w:after="220" w:lineRule="auto"/>
              <w:jc w:val="both"/>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“Joint Control”</w:t>
            </w:r>
          </w:p>
        </w:tc>
        <w:tc>
          <w:tcPr/>
          <w:p w:rsidR="00000000" w:rsidDel="00000000" w:rsidP="00000000" w:rsidRDefault="00000000" w:rsidRPr="00000000" w14:paraId="0000000B">
            <w:pPr>
              <w:keepNext w:val="1"/>
              <w:pBdr>
                <w:top w:space="0" w:sz="0" w:val="nil"/>
                <w:left w:space="0" w:sz="0" w:val="nil"/>
                <w:bottom w:space="0" w:sz="0" w:val="nil"/>
                <w:right w:space="0" w:sz="0" w:val="nil"/>
                <w:between w:space="0" w:sz="0" w:val="nil"/>
              </w:pBdr>
              <w:spacing w:after="22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two or more Controllers jointly determine the purposes and means of Processing;</w:t>
            </w:r>
          </w:p>
        </w:tc>
      </w:tr>
      <w:tr>
        <w:trPr>
          <w:cantSplit w:val="0"/>
          <w:tblHeader w:val="0"/>
        </w:trPr>
        <w:tc>
          <w:tcPr/>
          <w:p w:rsidR="00000000" w:rsidDel="00000000" w:rsidP="00000000" w:rsidRDefault="00000000" w:rsidRPr="00000000" w14:paraId="0000000C">
            <w:pPr>
              <w:keepNext w:val="1"/>
              <w:pBdr>
                <w:top w:space="0" w:sz="0" w:val="nil"/>
                <w:left w:space="0" w:sz="0" w:val="nil"/>
                <w:bottom w:space="0" w:sz="0" w:val="nil"/>
                <w:right w:space="0" w:sz="0" w:val="nil"/>
                <w:between w:space="0" w:sz="0" w:val="nil"/>
              </w:pBdr>
              <w:spacing w:after="220" w:lineRule="auto"/>
              <w:jc w:val="both"/>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“Processor Personnel”</w:t>
            </w:r>
          </w:p>
        </w:tc>
        <w:tc>
          <w:tcPr/>
          <w:p w:rsidR="00000000" w:rsidDel="00000000" w:rsidP="00000000" w:rsidRDefault="00000000" w:rsidRPr="00000000" w14:paraId="0000000D">
            <w:pPr>
              <w:keepNext w:val="1"/>
              <w:pBdr>
                <w:top w:space="0" w:sz="0" w:val="nil"/>
                <w:left w:space="0" w:sz="0" w:val="nil"/>
                <w:bottom w:space="0" w:sz="0" w:val="nil"/>
                <w:right w:space="0" w:sz="0" w:val="nil"/>
                <w:between w:space="0" w:sz="0" w:val="nil"/>
              </w:pBdr>
              <w:spacing w:after="220" w:lineRule="auto"/>
              <w:jc w:val="both"/>
              <w:rPr>
                <w:rFonts w:ascii="Arial" w:cs="Arial" w:eastAsia="Arial" w:hAnsi="Arial"/>
                <w:b w:val="1"/>
                <w:bCs w:val="1"/>
                <w:sz w:val="24"/>
                <w:szCs w:val="24"/>
              </w:rPr>
            </w:pPr>
            <w:r w:rsidDel="00000000" w:rsidR="00000000" w:rsidRPr="00000000">
              <w:rPr>
                <w:rFonts w:ascii="Arial" w:cs="Arial" w:eastAsia="Arial" w:hAnsi="Arial"/>
                <w:sz w:val="24"/>
                <w:szCs w:val="24"/>
                <w:rtl w:val="0"/>
              </w:rPr>
              <w:t xml:space="preserve">all directors, officers, employees, agents, consultants and suppliers of the Processor and/or of any Subprocessor engaged in the performance of its obligations under a Contract;</w:t>
            </w:r>
            <w:r w:rsidDel="00000000" w:rsidR="00000000" w:rsidRPr="00000000">
              <w:rPr>
                <w:rtl w:val="0"/>
              </w:rPr>
            </w:r>
          </w:p>
        </w:tc>
      </w:tr>
    </w:tbl>
    <w:p w:rsidR="00000000" w:rsidDel="00000000" w:rsidP="00000000" w:rsidRDefault="00000000" w:rsidRPr="00000000" w14:paraId="0000000E">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Status of the Controller</w:t>
      </w:r>
    </w:p>
    <w:p w:rsidR="00000000" w:rsidDel="00000000" w:rsidP="00000000" w:rsidRDefault="00000000" w:rsidRPr="00000000" w14:paraId="0000000F">
      <w:pPr>
        <w:numPr>
          <w:ilvl w:val="1"/>
          <w:numId w:val="5"/>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acknowledge that for the purposes of the Data Protection Legislation, the nature of the activity carried out by each of them in relation to their respective obligations under a Contract dictates the status of each party under the DPA 2018. A Party may act as:</w:t>
      </w:r>
    </w:p>
    <w:p w:rsidR="00000000" w:rsidDel="00000000" w:rsidP="00000000" w:rsidRDefault="00000000" w:rsidRPr="00000000" w14:paraId="00000010">
      <w:pPr>
        <w:numPr>
          <w:ilvl w:val="2"/>
          <w:numId w:val="5"/>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“Controller” in respect of the other Party who is “Processor”;</w:t>
      </w:r>
    </w:p>
    <w:p w:rsidR="00000000" w:rsidDel="00000000" w:rsidP="00000000" w:rsidRDefault="00000000" w:rsidRPr="00000000" w14:paraId="00000011">
      <w:pPr>
        <w:numPr>
          <w:ilvl w:val="2"/>
          <w:numId w:val="5"/>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“Processor” in respect of the other Party who is “Controller”;</w:t>
      </w:r>
    </w:p>
    <w:p w:rsidR="00000000" w:rsidDel="00000000" w:rsidP="00000000" w:rsidRDefault="00000000" w:rsidRPr="00000000" w14:paraId="00000012">
      <w:pPr>
        <w:numPr>
          <w:ilvl w:val="2"/>
          <w:numId w:val="5"/>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“Joint Controller” with the other Party; </w:t>
      </w:r>
    </w:p>
    <w:p w:rsidR="00000000" w:rsidDel="00000000" w:rsidP="00000000" w:rsidRDefault="00000000" w:rsidRPr="00000000" w14:paraId="00000013">
      <w:pPr>
        <w:numPr>
          <w:ilvl w:val="2"/>
          <w:numId w:val="5"/>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“Independent Controller” of the Personal Data where the other Party is also “Controller”,</w:t>
      </w:r>
    </w:p>
    <w:p w:rsidR="00000000" w:rsidDel="00000000" w:rsidP="00000000" w:rsidRDefault="00000000" w:rsidRPr="00000000" w14:paraId="00000014">
      <w:pPr>
        <w:pBdr>
          <w:top w:space="0" w:sz="0" w:val="nil"/>
          <w:left w:space="0" w:sz="0" w:val="nil"/>
          <w:bottom w:space="0" w:sz="0" w:val="nil"/>
          <w:right w:space="0" w:sz="0" w:val="nil"/>
          <w:between w:space="0" w:sz="0" w:val="nil"/>
        </w:pBdr>
        <w:spacing w:after="120" w:before="280" w:lineRule="auto"/>
        <w:ind w:left="809"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in respect of certain Personal Data under a Contract and shall specify in Annex 1 </w:t>
      </w:r>
      <w:r w:rsidDel="00000000" w:rsidR="00000000" w:rsidRPr="00000000">
        <w:rPr>
          <w:rFonts w:ascii="Arial" w:cs="Arial" w:eastAsia="Arial" w:hAnsi="Arial"/>
          <w:i w:val="1"/>
          <w:iCs w:val="1"/>
          <w:sz w:val="24"/>
          <w:szCs w:val="24"/>
          <w:rtl w:val="0"/>
        </w:rPr>
        <w:t xml:space="preserve">(Processing Personal Data)</w:t>
      </w:r>
      <w:r w:rsidDel="00000000" w:rsidR="00000000" w:rsidRPr="00000000">
        <w:rPr>
          <w:rFonts w:ascii="Arial" w:cs="Arial" w:eastAsia="Arial" w:hAnsi="Arial"/>
          <w:sz w:val="24"/>
          <w:szCs w:val="24"/>
          <w:rtl w:val="0"/>
        </w:rPr>
        <w:t xml:space="preserve"> which scenario they think shall apply in each situation. </w:t>
      </w:r>
    </w:p>
    <w:p w:rsidR="00000000" w:rsidDel="00000000" w:rsidP="00000000" w:rsidRDefault="00000000" w:rsidRPr="00000000" w14:paraId="00000015">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Where one Party is Controller and the other Party its Processor </w:t>
      </w:r>
    </w:p>
    <w:p w:rsidR="00000000" w:rsidDel="00000000" w:rsidP="00000000" w:rsidRDefault="00000000" w:rsidRPr="00000000" w14:paraId="00000016">
      <w:pPr>
        <w:numPr>
          <w:ilvl w:val="1"/>
          <w:numId w:val="5"/>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bookmarkStart w:colFirst="0" w:colLast="0" w:name="_30j0zll" w:id="0"/>
      <w:bookmarkEnd w:id="0"/>
      <w:r w:rsidDel="00000000" w:rsidR="00000000" w:rsidRPr="00000000">
        <w:rPr>
          <w:rFonts w:ascii="Arial" w:cs="Arial" w:eastAsia="Arial" w:hAnsi="Arial"/>
          <w:sz w:val="24"/>
          <w:szCs w:val="24"/>
          <w:rtl w:val="0"/>
        </w:rPr>
        <w:t xml:space="preserve">Where a Party is a Processor, the only Processing that it is authorised to do is listed in Annex 1 </w:t>
      </w:r>
      <w:r w:rsidDel="00000000" w:rsidR="00000000" w:rsidRPr="00000000">
        <w:rPr>
          <w:rFonts w:ascii="Arial" w:cs="Arial" w:eastAsia="Arial" w:hAnsi="Arial"/>
          <w:i w:val="1"/>
          <w:iCs w:val="1"/>
          <w:sz w:val="24"/>
          <w:szCs w:val="24"/>
          <w:rtl w:val="0"/>
        </w:rPr>
        <w:t xml:space="preserve">(Processing Personal Data</w:t>
      </w:r>
      <w:r w:rsidDel="00000000" w:rsidR="00000000" w:rsidRPr="00000000">
        <w:rPr>
          <w:rFonts w:ascii="Arial" w:cs="Arial" w:eastAsia="Arial" w:hAnsi="Arial"/>
          <w:sz w:val="24"/>
          <w:szCs w:val="24"/>
          <w:rtl w:val="0"/>
        </w:rPr>
        <w:t xml:space="preserve">) by the Controller or further provided in writing by the Controller and may not be determined by the Processor.</w:t>
      </w:r>
    </w:p>
    <w:p w:rsidR="00000000" w:rsidDel="00000000" w:rsidP="00000000" w:rsidRDefault="00000000" w:rsidRPr="00000000" w14:paraId="00000017">
      <w:pPr>
        <w:numPr>
          <w:ilvl w:val="1"/>
          <w:numId w:val="5"/>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notify the Controller immediately if it considers that any of the Controller’s instructions infringe the Data Protection Legislation.</w:t>
      </w:r>
    </w:p>
    <w:p w:rsidR="00000000" w:rsidDel="00000000" w:rsidP="00000000" w:rsidRDefault="00000000" w:rsidRPr="00000000" w14:paraId="00000018">
      <w:pPr>
        <w:numPr>
          <w:ilvl w:val="1"/>
          <w:numId w:val="5"/>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provide all reasonable assistance to the Controller in the preparation of any Data Protection Impact Assessment prior to commencing any Processing.  Such assistance may, at the discretion of the Controller, include:</w:t>
      </w:r>
    </w:p>
    <w:p w:rsidR="00000000" w:rsidDel="00000000" w:rsidP="00000000" w:rsidRDefault="00000000" w:rsidRPr="00000000" w14:paraId="00000019">
      <w:pPr>
        <w:numPr>
          <w:ilvl w:val="2"/>
          <w:numId w:val="5"/>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systematic description of the envisaged Processing and the purpose of the Processing;</w:t>
      </w:r>
    </w:p>
    <w:p w:rsidR="00000000" w:rsidDel="00000000" w:rsidP="00000000" w:rsidRDefault="00000000" w:rsidRPr="00000000" w14:paraId="0000001A">
      <w:pPr>
        <w:numPr>
          <w:ilvl w:val="2"/>
          <w:numId w:val="5"/>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 assessment of the necessity and proportionality of the Processing in relation to the Deliverables;</w:t>
      </w:r>
    </w:p>
    <w:p w:rsidR="00000000" w:rsidDel="00000000" w:rsidP="00000000" w:rsidRDefault="00000000" w:rsidRPr="00000000" w14:paraId="0000001B">
      <w:pPr>
        <w:numPr>
          <w:ilvl w:val="2"/>
          <w:numId w:val="5"/>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 assessment of the risks to the rights and freedoms of Data Subjects; and</w:t>
      </w:r>
    </w:p>
    <w:p w:rsidR="00000000" w:rsidDel="00000000" w:rsidP="00000000" w:rsidRDefault="00000000" w:rsidRPr="00000000" w14:paraId="0000001C">
      <w:pPr>
        <w:numPr>
          <w:ilvl w:val="2"/>
          <w:numId w:val="5"/>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measures envisaged to address the risks, including safeguards, security measures and mechanisms to ensure the protection of Personal Data.</w:t>
      </w:r>
    </w:p>
    <w:bookmarkStart w:colFirst="0" w:colLast="0" w:name="gjdgxs" w:id="1"/>
    <w:bookmarkEnd w:id="1"/>
    <w:p w:rsidR="00000000" w:rsidDel="00000000" w:rsidP="00000000" w:rsidRDefault="00000000" w:rsidRPr="00000000" w14:paraId="0000001D">
      <w:pPr>
        <w:numPr>
          <w:ilvl w:val="1"/>
          <w:numId w:val="5"/>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in relation to any Personal Data Processed in connection with its obligations under the Contract:</w:t>
      </w:r>
    </w:p>
    <w:bookmarkStart w:colFirst="0" w:colLast="0" w:name="30j0zll" w:id="2"/>
    <w:bookmarkEnd w:id="2"/>
    <w:p w:rsidR="00000000" w:rsidDel="00000000" w:rsidP="00000000" w:rsidRDefault="00000000" w:rsidRPr="00000000" w14:paraId="0000001E">
      <w:pPr>
        <w:numPr>
          <w:ilvl w:val="2"/>
          <w:numId w:val="5"/>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Process that Personal Data only in accordance with Annex 1 </w:t>
      </w:r>
      <w:r w:rsidDel="00000000" w:rsidR="00000000" w:rsidRPr="00000000">
        <w:rPr>
          <w:rFonts w:ascii="Arial" w:cs="Arial" w:eastAsia="Arial" w:hAnsi="Arial"/>
          <w:i w:val="1"/>
          <w:iCs w:val="1"/>
          <w:sz w:val="24"/>
          <w:szCs w:val="24"/>
          <w:rtl w:val="0"/>
        </w:rPr>
        <w:t xml:space="preserve">(Processing Personal Data</w:t>
      </w:r>
      <w:r w:rsidDel="00000000" w:rsidR="00000000" w:rsidRPr="00000000">
        <w:rPr>
          <w:rFonts w:ascii="Arial" w:cs="Arial" w:eastAsia="Arial" w:hAnsi="Arial"/>
          <w:sz w:val="24"/>
          <w:szCs w:val="24"/>
          <w:rtl w:val="0"/>
        </w:rPr>
        <w:t xml:space="preserve">) or as further provided in writing by the Controller, unless the Processor is required to do otherwise by Law. If it is so required the Processor shall promptly notify the Controller before Processing the Personal Data unless prohibited by Law;</w:t>
      </w:r>
    </w:p>
    <w:bookmarkStart w:colFirst="0" w:colLast="0" w:name="1fob9te" w:id="3"/>
    <w:bookmarkEnd w:id="3"/>
    <w:p w:rsidR="00000000" w:rsidDel="00000000" w:rsidP="00000000" w:rsidRDefault="00000000" w:rsidRPr="00000000" w14:paraId="0000001F">
      <w:pPr>
        <w:numPr>
          <w:ilvl w:val="2"/>
          <w:numId w:val="5"/>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has in place Protective Measures, which are appropriate to protect against Personal Data Breach, including in the case of the Supplier the measures set out in Clause 14.3 of the Core Terms</w:t>
      </w:r>
      <w:r w:rsidDel="00000000" w:rsidR="00000000" w:rsidRPr="00000000">
        <w:rPr>
          <w:rFonts w:ascii="Arial" w:cs="Arial" w:eastAsia="Arial" w:hAnsi="Arial"/>
          <w:i w:val="1"/>
          <w:iCs w:val="1"/>
          <w:sz w:val="24"/>
          <w:szCs w:val="24"/>
          <w:rtl w:val="0"/>
        </w:rPr>
        <w:t xml:space="preserve">,</w:t>
      </w:r>
      <w:r w:rsidDel="00000000" w:rsidR="00000000" w:rsidRPr="00000000">
        <w:rPr>
          <w:rFonts w:ascii="Arial" w:cs="Arial" w:eastAsia="Arial" w:hAnsi="Arial"/>
          <w:sz w:val="24"/>
          <w:szCs w:val="24"/>
          <w:rtl w:val="0"/>
        </w:rPr>
        <w:t xml:space="preserve"> which  the Controller may reasonably reject. In the event of the Controller reasonably rejecting Protective Measures put in place by the Processor, the Processor must propose alternative Protective Measures to the satisfaction of the Controller. Failure to reject shall not amount to approval by the Controller of the adequacy of the Protective Measures. Protective Measures must take account of the:</w:t>
      </w:r>
    </w:p>
    <w:p w:rsidR="00000000" w:rsidDel="00000000" w:rsidP="00000000" w:rsidRDefault="00000000" w:rsidRPr="00000000" w14:paraId="00000020">
      <w:pPr>
        <w:numPr>
          <w:ilvl w:val="3"/>
          <w:numId w:val="5"/>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nature of the data to be protected;</w:t>
      </w:r>
      <w:bookmarkStart w:colFirst="0" w:colLast="0" w:name="3znysh7" w:id="4"/>
      <w:bookmarkEnd w:id="4"/>
      <w:r w:rsidDel="00000000" w:rsidR="00000000" w:rsidRPr="00000000">
        <w:rPr>
          <w:rtl w:val="0"/>
        </w:rPr>
      </w:r>
    </w:p>
    <w:p w:rsidR="00000000" w:rsidDel="00000000" w:rsidP="00000000" w:rsidRDefault="00000000" w:rsidRPr="00000000" w14:paraId="00000021">
      <w:pPr>
        <w:numPr>
          <w:ilvl w:val="3"/>
          <w:numId w:val="5"/>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harm that might result from a Personal Data Breach;</w:t>
      </w:r>
    </w:p>
    <w:p w:rsidR="00000000" w:rsidDel="00000000" w:rsidP="00000000" w:rsidRDefault="00000000" w:rsidRPr="00000000" w14:paraId="00000022">
      <w:pPr>
        <w:numPr>
          <w:ilvl w:val="3"/>
          <w:numId w:val="5"/>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state of technological development; </w:t>
      </w:r>
    </w:p>
    <w:p w:rsidR="00000000" w:rsidDel="00000000" w:rsidP="00000000" w:rsidRDefault="00000000" w:rsidRPr="00000000" w14:paraId="00000023">
      <w:pPr>
        <w:numPr>
          <w:ilvl w:val="3"/>
          <w:numId w:val="5"/>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cost of implementing any measures; </w:t>
      </w:r>
    </w:p>
    <w:p w:rsidR="00000000" w:rsidDel="00000000" w:rsidP="00000000" w:rsidRDefault="00000000" w:rsidRPr="00000000" w14:paraId="00000024">
      <w:pPr>
        <w:pBdr>
          <w:top w:space="0" w:sz="0" w:val="nil"/>
          <w:left w:space="0" w:sz="0" w:val="nil"/>
          <w:bottom w:space="0" w:sz="0" w:val="nil"/>
          <w:right w:space="0" w:sz="0" w:val="nil"/>
          <w:between w:space="0" w:sz="0" w:val="nil"/>
        </w:pBdr>
        <w:tabs>
          <w:tab w:val="left" w:leader="none" w:pos="2261"/>
        </w:tabs>
        <w:spacing w:after="120" w:line="240" w:lineRule="auto"/>
        <w:ind w:left="2126"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and which shall be maintained in accordance with Data Protection Legislation and Good Industry Practice;</w:t>
      </w:r>
    </w:p>
    <w:bookmarkStart w:colFirst="0" w:colLast="0" w:name="2et92p0" w:id="5"/>
    <w:bookmarkEnd w:id="5"/>
    <w:p w:rsidR="00000000" w:rsidDel="00000000" w:rsidP="00000000" w:rsidRDefault="00000000" w:rsidRPr="00000000" w14:paraId="00000025">
      <w:pPr>
        <w:numPr>
          <w:ilvl w:val="2"/>
          <w:numId w:val="5"/>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w:t>
      </w:r>
    </w:p>
    <w:p w:rsidR="00000000" w:rsidDel="00000000" w:rsidP="00000000" w:rsidRDefault="00000000" w:rsidRPr="00000000" w14:paraId="00000026">
      <w:pPr>
        <w:numPr>
          <w:ilvl w:val="3"/>
          <w:numId w:val="5"/>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Personnel do not Process Personal Data except in accordance with the Contract (and in particular Annex 1</w:t>
      </w:r>
      <w:r w:rsidDel="00000000" w:rsidR="00000000" w:rsidRPr="00000000">
        <w:rPr>
          <w:rFonts w:ascii="Arial" w:cs="Arial" w:eastAsia="Arial" w:hAnsi="Arial"/>
          <w:i w:val="1"/>
          <w:iCs w:val="1"/>
          <w:sz w:val="24"/>
          <w:szCs w:val="24"/>
          <w:rtl w:val="0"/>
        </w:rPr>
        <w:t xml:space="preserve"> (Processing Personal Data</w:t>
      </w:r>
      <w:r w:rsidDel="00000000" w:rsidR="00000000" w:rsidRPr="00000000">
        <w:rPr>
          <w:rFonts w:ascii="Arial" w:cs="Arial" w:eastAsia="Arial" w:hAnsi="Arial"/>
          <w:sz w:val="24"/>
          <w:szCs w:val="24"/>
          <w:rtl w:val="0"/>
        </w:rPr>
        <w:t xml:space="preserve">)) and the Controller’s further written instructions;</w:t>
      </w:r>
    </w:p>
    <w:p w:rsidR="00000000" w:rsidDel="00000000" w:rsidP="00000000" w:rsidRDefault="00000000" w:rsidRPr="00000000" w14:paraId="00000027">
      <w:pPr>
        <w:numPr>
          <w:ilvl w:val="3"/>
          <w:numId w:val="5"/>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it uses  all reasonable endeavours  to ensure the reliability and integrity of any Processor Personnel who have access to the Personal Data and ensure that they:</w:t>
      </w:r>
    </w:p>
    <w:p w:rsidR="00000000" w:rsidDel="00000000" w:rsidP="00000000" w:rsidRDefault="00000000" w:rsidRPr="00000000" w14:paraId="00000028">
      <w:pPr>
        <w:numPr>
          <w:ilvl w:val="4"/>
          <w:numId w:val="5"/>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aware of and comply with the Processor’s duties under this Joint Schedule 11, Clauses 14 (</w:t>
      </w:r>
      <w:r w:rsidDel="00000000" w:rsidR="00000000" w:rsidRPr="00000000">
        <w:rPr>
          <w:rFonts w:ascii="Arial" w:cs="Arial" w:eastAsia="Arial" w:hAnsi="Arial"/>
          <w:i w:val="1"/>
          <w:iCs w:val="1"/>
          <w:sz w:val="24"/>
          <w:szCs w:val="24"/>
          <w:rtl w:val="0"/>
        </w:rPr>
        <w:t xml:space="preserve">Data protection</w:t>
      </w:r>
      <w:r w:rsidDel="00000000" w:rsidR="00000000" w:rsidRPr="00000000">
        <w:rPr>
          <w:rFonts w:ascii="Arial" w:cs="Arial" w:eastAsia="Arial" w:hAnsi="Arial"/>
          <w:sz w:val="24"/>
          <w:szCs w:val="24"/>
          <w:rtl w:val="0"/>
        </w:rPr>
        <w:t xml:space="preserve">), 15 (</w:t>
      </w:r>
      <w:r w:rsidDel="00000000" w:rsidR="00000000" w:rsidRPr="00000000">
        <w:rPr>
          <w:rFonts w:ascii="Arial" w:cs="Arial" w:eastAsia="Arial" w:hAnsi="Arial"/>
          <w:i w:val="1"/>
          <w:iCs w:val="1"/>
          <w:sz w:val="24"/>
          <w:szCs w:val="24"/>
          <w:rtl w:val="0"/>
        </w:rPr>
        <w:t xml:space="preserve">What you must keep confidential</w:t>
      </w:r>
      <w:r w:rsidDel="00000000" w:rsidR="00000000" w:rsidRPr="00000000">
        <w:rPr>
          <w:rFonts w:ascii="Arial" w:cs="Arial" w:eastAsia="Arial" w:hAnsi="Arial"/>
          <w:sz w:val="24"/>
          <w:szCs w:val="24"/>
          <w:rtl w:val="0"/>
        </w:rPr>
        <w:t xml:space="preserve">) and 16 (</w:t>
      </w:r>
      <w:r w:rsidDel="00000000" w:rsidR="00000000" w:rsidRPr="00000000">
        <w:rPr>
          <w:rFonts w:ascii="Arial" w:cs="Arial" w:eastAsia="Arial" w:hAnsi="Arial"/>
          <w:i w:val="1"/>
          <w:iCs w:val="1"/>
          <w:sz w:val="24"/>
          <w:szCs w:val="24"/>
          <w:rtl w:val="0"/>
        </w:rPr>
        <w:t xml:space="preserve">When you can share information</w:t>
      </w:r>
      <w:r w:rsidDel="00000000" w:rsidR="00000000" w:rsidRPr="00000000">
        <w:rPr>
          <w:rFonts w:ascii="Arial" w:cs="Arial" w:eastAsia="Arial" w:hAnsi="Arial"/>
          <w:sz w:val="24"/>
          <w:szCs w:val="24"/>
          <w:rtl w:val="0"/>
        </w:rPr>
        <w:t xml:space="preserve">) of the Core Terms;</w:t>
      </w:r>
    </w:p>
    <w:p w:rsidR="00000000" w:rsidDel="00000000" w:rsidP="00000000" w:rsidRDefault="00000000" w:rsidRPr="00000000" w14:paraId="00000029">
      <w:pPr>
        <w:numPr>
          <w:ilvl w:val="4"/>
          <w:numId w:val="5"/>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subject to appropriate confidentiality undertakings with the Processor or any Subprocessor;</w:t>
      </w:r>
    </w:p>
    <w:p w:rsidR="00000000" w:rsidDel="00000000" w:rsidP="00000000" w:rsidRDefault="00000000" w:rsidRPr="00000000" w14:paraId="0000002A">
      <w:pPr>
        <w:numPr>
          <w:ilvl w:val="4"/>
          <w:numId w:val="5"/>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informed of the confidential nature of the Personal Data and do not publish, disclose or divulge any of the Personal Data to any third party unless directed in writing to do so by the Controller or as otherwise permitted by the Contract; and</w:t>
      </w:r>
    </w:p>
    <w:p w:rsidR="00000000" w:rsidDel="00000000" w:rsidP="00000000" w:rsidRDefault="00000000" w:rsidRPr="00000000" w14:paraId="0000002B">
      <w:pPr>
        <w:numPr>
          <w:ilvl w:val="4"/>
          <w:numId w:val="5"/>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have undergone adequate training in the use, care, protection and handling of Personal Data; </w:t>
      </w:r>
    </w:p>
    <w:bookmarkStart w:colFirst="0" w:colLast="0" w:name="tyjcwt" w:id="6"/>
    <w:bookmarkEnd w:id="6"/>
    <w:p w:rsidR="00000000" w:rsidDel="00000000" w:rsidP="00000000" w:rsidRDefault="00000000" w:rsidRPr="00000000" w14:paraId="0000002C">
      <w:pPr>
        <w:numPr>
          <w:ilvl w:val="2"/>
          <w:numId w:val="5"/>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 transfer Personal Data outside of the UK  unless the prior written consent of the Controller has been obtained and the following conditions are fulfilled:</w:t>
      </w:r>
    </w:p>
    <w:bookmarkStart w:colFirst="0" w:colLast="0" w:name="3dy6vkm" w:id="7"/>
    <w:bookmarkEnd w:id="7"/>
    <w:p w:rsidR="00000000" w:rsidDel="00000000" w:rsidP="00000000" w:rsidRDefault="00000000" w:rsidRPr="00000000" w14:paraId="0000002D">
      <w:pPr>
        <w:numPr>
          <w:ilvl w:val="3"/>
          <w:numId w:val="5"/>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destination country has been recognised as adequate by the UK government in accordance with Article 45 of the UK GDPR (or section 74 of the DPA 2018); or</w:t>
      </w:r>
    </w:p>
    <w:p w:rsidR="00000000" w:rsidDel="00000000" w:rsidP="00000000" w:rsidRDefault="00000000" w:rsidRPr="00000000" w14:paraId="0000002E">
      <w:pPr>
        <w:numPr>
          <w:ilvl w:val="3"/>
          <w:numId w:val="5"/>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or the Processor has provided appropriate safeguards in relation to the transfer (whether in accordance with UK GDPR Article 46 or section 75 of the DPA 2018 ) as determined by the Controller which could include relevant parties entering into the International Data Transfer Agreement (the “</w:t>
      </w:r>
      <w:r w:rsidDel="00000000" w:rsidR="00000000" w:rsidRPr="00000000">
        <w:rPr>
          <w:rFonts w:ascii="Arial" w:cs="Arial" w:eastAsia="Arial" w:hAnsi="Arial"/>
          <w:b w:val="1"/>
          <w:bCs w:val="1"/>
          <w:sz w:val="24"/>
          <w:szCs w:val="24"/>
          <w:rtl w:val="0"/>
        </w:rPr>
        <w:t xml:space="preserve">IDTA</w:t>
      </w:r>
      <w:r w:rsidDel="00000000" w:rsidR="00000000" w:rsidRPr="00000000">
        <w:rPr>
          <w:rFonts w:ascii="Arial" w:cs="Arial" w:eastAsia="Arial" w:hAnsi="Arial"/>
          <w:sz w:val="24"/>
          <w:szCs w:val="24"/>
          <w:rtl w:val="0"/>
        </w:rPr>
        <w:t xml:space="preserve">”), or International Data Transfer Agreement Addendum to the European Commission’s SCCs (the “</w:t>
      </w:r>
      <w:r w:rsidDel="00000000" w:rsidR="00000000" w:rsidRPr="00000000">
        <w:rPr>
          <w:rFonts w:ascii="Arial" w:cs="Arial" w:eastAsia="Arial" w:hAnsi="Arial"/>
          <w:b w:val="1"/>
          <w:bCs w:val="1"/>
          <w:sz w:val="24"/>
          <w:szCs w:val="24"/>
          <w:rtl w:val="0"/>
        </w:rPr>
        <w:t xml:space="preserve">Addendum</w:t>
      </w:r>
      <w:r w:rsidDel="00000000" w:rsidR="00000000" w:rsidRPr="00000000">
        <w:rPr>
          <w:rFonts w:ascii="Arial" w:cs="Arial" w:eastAsia="Arial" w:hAnsi="Arial"/>
          <w:sz w:val="24"/>
          <w:szCs w:val="24"/>
          <w:rtl w:val="0"/>
        </w:rPr>
        <w:t xml:space="preserve">”), as published by the Information Commissioner’s Office from time to time under section 119A(1) of the DPA 2018, as well as any additional measures determined by the Controller;</w:t>
      </w:r>
    </w:p>
    <w:bookmarkStart w:colFirst="0" w:colLast="0" w:name="1t3h5sf" w:id="8"/>
    <w:bookmarkEnd w:id="8"/>
    <w:p w:rsidR="00000000" w:rsidDel="00000000" w:rsidP="00000000" w:rsidRDefault="00000000" w:rsidRPr="00000000" w14:paraId="0000002F">
      <w:pPr>
        <w:numPr>
          <w:ilvl w:val="3"/>
          <w:numId w:val="5"/>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Data Subject has enforceable rights and effective legal remedies;</w:t>
      </w:r>
    </w:p>
    <w:bookmarkStart w:colFirst="0" w:colLast="0" w:name="4d34og8" w:id="9"/>
    <w:bookmarkEnd w:id="9"/>
    <w:p w:rsidR="00000000" w:rsidDel="00000000" w:rsidP="00000000" w:rsidRDefault="00000000" w:rsidRPr="00000000" w14:paraId="00000030">
      <w:pPr>
        <w:numPr>
          <w:ilvl w:val="3"/>
          <w:numId w:val="5"/>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complies with its obligations under  Data Protection Legislation by providing an adequate level of protection to any Personal Data that is transferred (or, if it is not so bound, uses its best endeavours to assist the Controller in meeting its obligations); and</w:t>
      </w:r>
    </w:p>
    <w:bookmarkStart w:colFirst="0" w:colLast="0" w:name="2s8eyo1" w:id="10"/>
    <w:bookmarkEnd w:id="10"/>
    <w:p w:rsidR="00000000" w:rsidDel="00000000" w:rsidP="00000000" w:rsidRDefault="00000000" w:rsidRPr="00000000" w14:paraId="00000031">
      <w:pPr>
        <w:numPr>
          <w:ilvl w:val="3"/>
          <w:numId w:val="5"/>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complies with any reasonable instructions notified to it in advance by the Controller with respect to the Processing of the Personal Data; </w:t>
      </w:r>
    </w:p>
    <w:bookmarkStart w:colFirst="0" w:colLast="0" w:name="17dp8vu" w:id="11"/>
    <w:bookmarkEnd w:id="11"/>
    <w:p w:rsidR="00000000" w:rsidDel="00000000" w:rsidP="00000000" w:rsidRDefault="00000000" w:rsidRPr="00000000" w14:paraId="00000032">
      <w:pPr>
        <w:numPr>
          <w:ilvl w:val="2"/>
          <w:numId w:val="5"/>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the Personal Data is subject to EU GDPR, not transfer Personal Data outside of the EU unless the prior written consent of the Controller has been obtained and the following conditions are fulfilled:</w:t>
      </w:r>
    </w:p>
    <w:p w:rsidR="00000000" w:rsidDel="00000000" w:rsidP="00000000" w:rsidRDefault="00000000" w:rsidRPr="00000000" w14:paraId="00000033">
      <w:pPr>
        <w:numPr>
          <w:ilvl w:val="3"/>
          <w:numId w:val="5"/>
        </w:numPr>
        <w:pBdr>
          <w:top w:space="0" w:sz="0" w:val="nil"/>
          <w:left w:space="0" w:sz="0" w:val="nil"/>
          <w:bottom w:space="0" w:sz="0" w:val="nil"/>
          <w:right w:space="0" w:sz="0" w:val="nil"/>
          <w:between w:space="0" w:sz="0" w:val="nil"/>
        </w:pBdr>
        <w:spacing w:after="12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transfer is in accordance with Article 45 of the EU GDPR; or</w:t>
      </w:r>
    </w:p>
    <w:p w:rsidR="00000000" w:rsidDel="00000000" w:rsidP="00000000" w:rsidRDefault="00000000" w:rsidRPr="00000000" w14:paraId="00000034">
      <w:pPr>
        <w:numPr>
          <w:ilvl w:val="3"/>
          <w:numId w:val="5"/>
        </w:numPr>
        <w:pBdr>
          <w:top w:space="0" w:sz="0" w:val="nil"/>
          <w:left w:space="0" w:sz="0" w:val="nil"/>
          <w:bottom w:space="0" w:sz="0" w:val="nil"/>
          <w:right w:space="0" w:sz="0" w:val="nil"/>
          <w:between w:space="0" w:sz="0" w:val="nil"/>
        </w:pBdr>
        <w:spacing w:after="12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has provided appropriate safeguards in relation to the transfer in accordance with Article 46 of the EU GDPR as determined by the Controller which could include relevant parties entering into Standard Contractual Clauses in the European Commission’s decision 2021/914/EU or such updated version of such Standard Contractual Clauses as are published by the European Commission from time to time as well as any additional measures determined by the Controller;</w:t>
      </w:r>
    </w:p>
    <w:p w:rsidR="00000000" w:rsidDel="00000000" w:rsidP="00000000" w:rsidRDefault="00000000" w:rsidRPr="00000000" w14:paraId="00000035">
      <w:pPr>
        <w:numPr>
          <w:ilvl w:val="3"/>
          <w:numId w:val="5"/>
        </w:numPr>
        <w:pBdr>
          <w:top w:space="0" w:sz="0" w:val="nil"/>
          <w:left w:space="0" w:sz="0" w:val="nil"/>
          <w:bottom w:space="0" w:sz="0" w:val="nil"/>
          <w:right w:space="0" w:sz="0" w:val="nil"/>
          <w:between w:space="0" w:sz="0" w:val="nil"/>
        </w:pBdr>
        <w:spacing w:after="12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Data Subject has enforceable rights and effective legal remedies;</w:t>
      </w:r>
    </w:p>
    <w:p w:rsidR="00000000" w:rsidDel="00000000" w:rsidP="00000000" w:rsidRDefault="00000000" w:rsidRPr="00000000" w14:paraId="00000036">
      <w:pPr>
        <w:numPr>
          <w:ilvl w:val="3"/>
          <w:numId w:val="5"/>
        </w:numPr>
        <w:pBdr>
          <w:top w:space="0" w:sz="0" w:val="nil"/>
          <w:left w:space="0" w:sz="0" w:val="nil"/>
          <w:bottom w:space="0" w:sz="0" w:val="nil"/>
          <w:right w:space="0" w:sz="0" w:val="nil"/>
          <w:between w:space="0" w:sz="0" w:val="nil"/>
        </w:pBdr>
        <w:spacing w:after="12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complies with its obligations under the EU GDPR by providing an adequate level of protection to any Personal Data that is transferred (or, if it is not so bound, uses its best endeavours to assist the Controller in meeting its obligations); </w:t>
      </w:r>
    </w:p>
    <w:p w:rsidR="00000000" w:rsidDel="00000000" w:rsidP="00000000" w:rsidRDefault="00000000" w:rsidRPr="00000000" w14:paraId="00000037">
      <w:pPr>
        <w:numPr>
          <w:ilvl w:val="3"/>
          <w:numId w:val="5"/>
        </w:numPr>
        <w:pBdr>
          <w:top w:space="0" w:sz="0" w:val="nil"/>
          <w:left w:space="0" w:sz="0" w:val="nil"/>
          <w:bottom w:space="0" w:sz="0" w:val="nil"/>
          <w:right w:space="0" w:sz="0" w:val="nil"/>
          <w:between w:space="0" w:sz="0" w:val="nil"/>
        </w:pBdr>
        <w:spacing w:after="12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complies with any reasonable instructions notified to it in advance by the Controller with respect to the processing of the Personal Data; and </w:t>
      </w:r>
    </w:p>
    <w:p w:rsidR="00000000" w:rsidDel="00000000" w:rsidP="00000000" w:rsidRDefault="00000000" w:rsidRPr="00000000" w14:paraId="00000038">
      <w:pPr>
        <w:numPr>
          <w:ilvl w:val="2"/>
          <w:numId w:val="5"/>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at the written direction of the Controller, delete or return Personal Data (and any copies of it) to the Controller on termination of the Contract unless the Processor is required by Law to retain the Personal Data.</w:t>
      </w:r>
    </w:p>
    <w:bookmarkStart w:colFirst="0" w:colLast="0" w:name="3rdcrjn" w:id="12"/>
    <w:bookmarkEnd w:id="12"/>
    <w:p w:rsidR="00000000" w:rsidDel="00000000" w:rsidP="00000000" w:rsidRDefault="00000000" w:rsidRPr="00000000" w14:paraId="00000039">
      <w:pPr>
        <w:numPr>
          <w:ilvl w:val="1"/>
          <w:numId w:val="5"/>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Subject to paragraph 8 of this Joint Schedule 11, the Processor  shall notify the Controller immediately if in relation to it Processing Personal Data under or in connection with the Contract it:</w:t>
      </w:r>
    </w:p>
    <w:p w:rsidR="00000000" w:rsidDel="00000000" w:rsidP="00000000" w:rsidRDefault="00000000" w:rsidRPr="00000000" w14:paraId="0000003A">
      <w:pPr>
        <w:numPr>
          <w:ilvl w:val="2"/>
          <w:numId w:val="5"/>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 Data Subject Access Request (or purported Data Subject Access Request);</w:t>
      </w:r>
    </w:p>
    <w:p w:rsidR="00000000" w:rsidDel="00000000" w:rsidP="00000000" w:rsidRDefault="00000000" w:rsidRPr="00000000" w14:paraId="0000003B">
      <w:pPr>
        <w:numPr>
          <w:ilvl w:val="2"/>
          <w:numId w:val="5"/>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 request to rectify, block or erase any Personal Data; </w:t>
      </w:r>
    </w:p>
    <w:p w:rsidR="00000000" w:rsidDel="00000000" w:rsidP="00000000" w:rsidRDefault="00000000" w:rsidRPr="00000000" w14:paraId="0000003C">
      <w:pPr>
        <w:numPr>
          <w:ilvl w:val="2"/>
          <w:numId w:val="5"/>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any other request, complaint or communication relating to either Party's obligations under the Data Protection Legislation; </w:t>
      </w:r>
    </w:p>
    <w:p w:rsidR="00000000" w:rsidDel="00000000" w:rsidP="00000000" w:rsidRDefault="00000000" w:rsidRPr="00000000" w14:paraId="0000003D">
      <w:pPr>
        <w:numPr>
          <w:ilvl w:val="2"/>
          <w:numId w:val="5"/>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any communication from the Information Commissioner or any other regulatory authority in connection with Personal Data Processed under the Contract; </w:t>
      </w:r>
    </w:p>
    <w:p w:rsidR="00000000" w:rsidDel="00000000" w:rsidP="00000000" w:rsidRDefault="00000000" w:rsidRPr="00000000" w14:paraId="0000003E">
      <w:pPr>
        <w:numPr>
          <w:ilvl w:val="2"/>
          <w:numId w:val="5"/>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 request from any third Party for disclosure of Personal Data where compliance with such request is required or purported to be required by Law; or</w:t>
      </w:r>
    </w:p>
    <w:p w:rsidR="00000000" w:rsidDel="00000000" w:rsidP="00000000" w:rsidRDefault="00000000" w:rsidRPr="00000000" w14:paraId="0000003F">
      <w:pPr>
        <w:numPr>
          <w:ilvl w:val="2"/>
          <w:numId w:val="5"/>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becomes aware of a Personal Data Breach.</w:t>
      </w:r>
    </w:p>
    <w:p w:rsidR="00000000" w:rsidDel="00000000" w:rsidP="00000000" w:rsidRDefault="00000000" w:rsidRPr="00000000" w14:paraId="00000040">
      <w:pPr>
        <w:numPr>
          <w:ilvl w:val="1"/>
          <w:numId w:val="5"/>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Processor’s obligation to notify under paragraph 7 of this Joint Schedule 11 shall include the provision of further information to the Controller, as details become available. </w:t>
      </w:r>
    </w:p>
    <w:p w:rsidR="00000000" w:rsidDel="00000000" w:rsidP="00000000" w:rsidRDefault="00000000" w:rsidRPr="00000000" w14:paraId="00000041">
      <w:pPr>
        <w:numPr>
          <w:ilvl w:val="1"/>
          <w:numId w:val="5"/>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Taking into account the nature of the Processing, the Processor shall provide the Controller with full assistance in relation to either Party's obligations under Data Protection Legislation and any complaint, communication or request made under paragraph 7 of this Joint Schedule 11 (and insofar as possible within the timescales reasonably required by the Controller) including but not limited to promptly  providing:</w:t>
      </w:r>
    </w:p>
    <w:p w:rsidR="00000000" w:rsidDel="00000000" w:rsidP="00000000" w:rsidRDefault="00000000" w:rsidRPr="00000000" w14:paraId="00000042">
      <w:pPr>
        <w:numPr>
          <w:ilvl w:val="2"/>
          <w:numId w:val="5"/>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with full details and copies of the complaint, communication or request;</w:t>
      </w:r>
    </w:p>
    <w:p w:rsidR="00000000" w:rsidDel="00000000" w:rsidP="00000000" w:rsidRDefault="00000000" w:rsidRPr="00000000" w14:paraId="00000043">
      <w:pPr>
        <w:numPr>
          <w:ilvl w:val="2"/>
          <w:numId w:val="5"/>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such assistance as is reasonably requested by the Controller to enable the Controller  to comply with a Data Subject Access Request within the relevant timescales set out in the Data Protection Legislation; </w:t>
      </w:r>
    </w:p>
    <w:p w:rsidR="00000000" w:rsidDel="00000000" w:rsidP="00000000" w:rsidRDefault="00000000" w:rsidRPr="00000000" w14:paraId="00000044">
      <w:pPr>
        <w:numPr>
          <w:ilvl w:val="2"/>
          <w:numId w:val="5"/>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at its request, with any Personal Data it holds in relation to a Data Subject; </w:t>
      </w:r>
    </w:p>
    <w:p w:rsidR="00000000" w:rsidDel="00000000" w:rsidP="00000000" w:rsidRDefault="00000000" w:rsidRPr="00000000" w14:paraId="00000045">
      <w:pPr>
        <w:numPr>
          <w:ilvl w:val="2"/>
          <w:numId w:val="5"/>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assistance as requested by the Controller following any Personal Data Breach;  and/or</w:t>
      </w:r>
    </w:p>
    <w:p w:rsidR="00000000" w:rsidDel="00000000" w:rsidP="00000000" w:rsidRDefault="00000000" w:rsidRPr="00000000" w14:paraId="00000046">
      <w:pPr>
        <w:numPr>
          <w:ilvl w:val="2"/>
          <w:numId w:val="5"/>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assistance as requested by the Controller with respect to any request from the Information Commissioner’s Office or any other regulatory authority, or any consultation by the Controller with the Information Commissioner's Office or any other regulatory authority.</w:t>
      </w:r>
    </w:p>
    <w:p w:rsidR="00000000" w:rsidDel="00000000" w:rsidP="00000000" w:rsidRDefault="00000000" w:rsidRPr="00000000" w14:paraId="00000047">
      <w:pPr>
        <w:numPr>
          <w:ilvl w:val="1"/>
          <w:numId w:val="5"/>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maintain complete and accurate records and information to demonstrate its compliance with this Joint Schedule 11. This requirement does not apply where the Processor employs fewer than 250 staff, unless:</w:t>
      </w:r>
    </w:p>
    <w:p w:rsidR="00000000" w:rsidDel="00000000" w:rsidP="00000000" w:rsidRDefault="00000000" w:rsidRPr="00000000" w14:paraId="00000048">
      <w:pPr>
        <w:numPr>
          <w:ilvl w:val="2"/>
          <w:numId w:val="5"/>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determines that the Processing is not occasional;</w:t>
      </w:r>
    </w:p>
    <w:p w:rsidR="00000000" w:rsidDel="00000000" w:rsidP="00000000" w:rsidRDefault="00000000" w:rsidRPr="00000000" w14:paraId="00000049">
      <w:pPr>
        <w:numPr>
          <w:ilvl w:val="2"/>
          <w:numId w:val="5"/>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bookmarkStart w:colFirst="0" w:colLast="0" w:name="_26in1rg" w:id="13"/>
      <w:bookmarkEnd w:id="13"/>
      <w:r w:rsidDel="00000000" w:rsidR="00000000" w:rsidRPr="00000000">
        <w:rPr>
          <w:rFonts w:ascii="Arial" w:cs="Arial" w:eastAsia="Arial" w:hAnsi="Arial"/>
          <w:sz w:val="24"/>
          <w:szCs w:val="24"/>
          <w:rtl w:val="0"/>
        </w:rPr>
        <w:t xml:space="preserve">the Controller determines the Processing includes special categories of data as referred to in Article 9(1) of the UK GDPR or Personal Data relating to criminal convictions and offences referred to in Article 10 of the UK GDPR; or</w:t>
      </w:r>
    </w:p>
    <w:p w:rsidR="00000000" w:rsidDel="00000000" w:rsidP="00000000" w:rsidRDefault="00000000" w:rsidRPr="00000000" w14:paraId="0000004A">
      <w:pPr>
        <w:numPr>
          <w:ilvl w:val="2"/>
          <w:numId w:val="5"/>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determines that the Processing is likely to result in a risk to the rights and freedoms of Data Subjects.</w:t>
      </w:r>
    </w:p>
    <w:bookmarkStart w:colFirst="0" w:colLast="0" w:name="lnxbz9" w:id="14"/>
    <w:bookmarkEnd w:id="14"/>
    <w:p w:rsidR="00000000" w:rsidDel="00000000" w:rsidP="00000000" w:rsidRDefault="00000000" w:rsidRPr="00000000" w14:paraId="0000004B">
      <w:pPr>
        <w:numPr>
          <w:ilvl w:val="1"/>
          <w:numId w:val="5"/>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allow for audits of its Data Processing activity by the Controller or the Controller’s designated auditor.</w:t>
      </w:r>
    </w:p>
    <w:p w:rsidR="00000000" w:rsidDel="00000000" w:rsidP="00000000" w:rsidRDefault="00000000" w:rsidRPr="00000000" w14:paraId="0000004C">
      <w:pPr>
        <w:numPr>
          <w:ilvl w:val="1"/>
          <w:numId w:val="5"/>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shall designate a Data Protection Officer if required by the Data Protection Legislation. </w:t>
      </w:r>
    </w:p>
    <w:p w:rsidR="00000000" w:rsidDel="00000000" w:rsidP="00000000" w:rsidRDefault="00000000" w:rsidRPr="00000000" w14:paraId="0000004D">
      <w:pPr>
        <w:numPr>
          <w:ilvl w:val="1"/>
          <w:numId w:val="5"/>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Before allowing any Subprocessor to Process any Personal Data related to the Contract, the Processor must:</w:t>
      </w:r>
    </w:p>
    <w:p w:rsidR="00000000" w:rsidDel="00000000" w:rsidP="00000000" w:rsidRDefault="00000000" w:rsidRPr="00000000" w14:paraId="0000004E">
      <w:pPr>
        <w:numPr>
          <w:ilvl w:val="2"/>
          <w:numId w:val="5"/>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notify the Controller in writing of the intended Subprocessor and Processing;</w:t>
      </w:r>
    </w:p>
    <w:p w:rsidR="00000000" w:rsidDel="00000000" w:rsidP="00000000" w:rsidRDefault="00000000" w:rsidRPr="00000000" w14:paraId="0000004F">
      <w:pPr>
        <w:numPr>
          <w:ilvl w:val="2"/>
          <w:numId w:val="5"/>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obtain the written consent of the Controller; </w:t>
      </w:r>
    </w:p>
    <w:p w:rsidR="00000000" w:rsidDel="00000000" w:rsidP="00000000" w:rsidRDefault="00000000" w:rsidRPr="00000000" w14:paraId="00000050">
      <w:pPr>
        <w:numPr>
          <w:ilvl w:val="2"/>
          <w:numId w:val="5"/>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enter into a written agreement with the Subprocessor which give effect to the terms set out in this Joint Schedule 11 such that they apply to the Subprocessor; and</w:t>
      </w:r>
    </w:p>
    <w:p w:rsidR="00000000" w:rsidDel="00000000" w:rsidP="00000000" w:rsidRDefault="00000000" w:rsidRPr="00000000" w14:paraId="00000051">
      <w:pPr>
        <w:numPr>
          <w:ilvl w:val="2"/>
          <w:numId w:val="5"/>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the Controller with such information regarding the Subprocessor as the Controller may reasonably require.</w:t>
      </w:r>
    </w:p>
    <w:p w:rsidR="00000000" w:rsidDel="00000000" w:rsidP="00000000" w:rsidRDefault="00000000" w:rsidRPr="00000000" w14:paraId="00000052">
      <w:pPr>
        <w:numPr>
          <w:ilvl w:val="1"/>
          <w:numId w:val="5"/>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remain fully liable for all acts or omissions of any of its Subprocessors.</w:t>
      </w:r>
    </w:p>
    <w:bookmarkStart w:colFirst="0" w:colLast="0" w:name="35nkun2" w:id="15"/>
    <w:bookmarkEnd w:id="15"/>
    <w:p w:rsidR="00000000" w:rsidDel="00000000" w:rsidP="00000000" w:rsidRDefault="00000000" w:rsidRPr="00000000" w14:paraId="00000053">
      <w:pPr>
        <w:numPr>
          <w:ilvl w:val="1"/>
          <w:numId w:val="5"/>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Relevant Authority may, at any time on not less than thirty (30) Working Days’ notice, revise this Joint Schedule 11 by replacing it with any applicable controller to processor standard clauses or similar terms forming part of an applicable certification scheme (which shall apply when incorporated by attachment to the Contract).</w:t>
      </w:r>
    </w:p>
    <w:p w:rsidR="00000000" w:rsidDel="00000000" w:rsidP="00000000" w:rsidRDefault="00000000" w:rsidRPr="00000000" w14:paraId="00000054">
      <w:pPr>
        <w:numPr>
          <w:ilvl w:val="1"/>
          <w:numId w:val="5"/>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agree to take account of any non-mandatory guidance issued by the Information Commissioner’s Office, any relevant Central Government Body and/or any other regulatory authority. The Relevant Authority may on not less than thirty (30) Working Days’ notice to the Supplier amend the Contract to ensure that it complies with any non-mandatory guidance issued by the Information Commissioner’s Office, relevant Central Government Body and/or any other regulatory authority. </w:t>
      </w:r>
    </w:p>
    <w:p w:rsidR="00000000" w:rsidDel="00000000" w:rsidP="00000000" w:rsidRDefault="00000000" w:rsidRPr="00000000" w14:paraId="00000055">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Where the Parties are Joint Controllers of Personal Data </w:t>
      </w:r>
    </w:p>
    <w:p w:rsidR="00000000" w:rsidDel="00000000" w:rsidP="00000000" w:rsidRDefault="00000000" w:rsidRPr="00000000" w14:paraId="00000056">
      <w:pPr>
        <w:numPr>
          <w:ilvl w:val="1"/>
          <w:numId w:val="5"/>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 the event that the Parties are Joint Controllers in respect of Personal Data under the Contract, the Parties shall implement paragraphs that are necessary to comply with UK GDPR Article 26 based on the terms set out in Annex 2 to this Joint Schedule 11. </w:t>
      </w:r>
    </w:p>
    <w:p w:rsidR="00000000" w:rsidDel="00000000" w:rsidP="00000000" w:rsidRDefault="00000000" w:rsidRPr="00000000" w14:paraId="00000057">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Independent Controllers of Personal Data </w:t>
      </w:r>
    </w:p>
    <w:p w:rsidR="00000000" w:rsidDel="00000000" w:rsidP="00000000" w:rsidRDefault="00000000" w:rsidRPr="00000000" w14:paraId="00000058">
      <w:pPr>
        <w:numPr>
          <w:ilvl w:val="1"/>
          <w:numId w:val="5"/>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p>
    <w:p w:rsidR="00000000" w:rsidDel="00000000" w:rsidP="00000000" w:rsidRDefault="00000000" w:rsidRPr="00000000" w14:paraId="00000059">
      <w:pPr>
        <w:numPr>
          <w:ilvl w:val="1"/>
          <w:numId w:val="5"/>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Each Party shall Process the Personal Data in compliance with its obligations under the Data Protection Legislation and not do anything to cause the other Party to be in breach of it. </w:t>
      </w:r>
    </w:p>
    <w:p w:rsidR="00000000" w:rsidDel="00000000" w:rsidP="00000000" w:rsidRDefault="00000000" w:rsidRPr="00000000" w14:paraId="0000005A">
      <w:pPr>
        <w:numPr>
          <w:ilvl w:val="1"/>
          <w:numId w:val="5"/>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a Party has provided Personal Data to the other Party in accordance with paragraph 18 of this Joint Schedule 11 above, the recipient of the Personal Data will provide all such relevant documents and information relating to its data protection policies and procedures as the other Party may reasonably require.</w:t>
      </w:r>
    </w:p>
    <w:p w:rsidR="00000000" w:rsidDel="00000000" w:rsidP="00000000" w:rsidRDefault="00000000" w:rsidRPr="00000000" w14:paraId="0000005B">
      <w:pPr>
        <w:numPr>
          <w:ilvl w:val="1"/>
          <w:numId w:val="5"/>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shall be responsible for their own compliance with Articles 13 and 14 UK GDPR in respect of the Processing of Personal Data for the purposes of the Contract. </w:t>
      </w:r>
    </w:p>
    <w:p w:rsidR="00000000" w:rsidDel="00000000" w:rsidP="00000000" w:rsidRDefault="00000000" w:rsidRPr="00000000" w14:paraId="0000005C">
      <w:pPr>
        <w:numPr>
          <w:ilvl w:val="1"/>
          <w:numId w:val="5"/>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shall only provide Personal Data to each other:</w:t>
      </w:r>
    </w:p>
    <w:p w:rsidR="00000000" w:rsidDel="00000000" w:rsidP="00000000" w:rsidRDefault="00000000" w:rsidRPr="00000000" w14:paraId="0000005D">
      <w:pPr>
        <w:numPr>
          <w:ilvl w:val="2"/>
          <w:numId w:val="5"/>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to the extent necessary to perform their respective obligations under the Contract;</w:t>
      </w:r>
    </w:p>
    <w:p w:rsidR="00000000" w:rsidDel="00000000" w:rsidP="00000000" w:rsidRDefault="00000000" w:rsidRPr="00000000" w14:paraId="0000005E">
      <w:pPr>
        <w:numPr>
          <w:ilvl w:val="2"/>
          <w:numId w:val="5"/>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 compliance with the Data Protection Legislation (including by ensuring all required data privacy information has been given to affected Data Subjects to meet the requirements of Articles 13 and 14 of the UK GDPR); and</w:t>
      </w:r>
    </w:p>
    <w:p w:rsidR="00000000" w:rsidDel="00000000" w:rsidP="00000000" w:rsidRDefault="00000000" w:rsidRPr="00000000" w14:paraId="0000005F">
      <w:pPr>
        <w:numPr>
          <w:ilvl w:val="2"/>
          <w:numId w:val="5"/>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it has recorded it in Annex 1 </w:t>
      </w:r>
      <w:r w:rsidDel="00000000" w:rsidR="00000000" w:rsidRPr="00000000">
        <w:rPr>
          <w:rFonts w:ascii="Arial" w:cs="Arial" w:eastAsia="Arial" w:hAnsi="Arial"/>
          <w:i w:val="1"/>
          <w:iCs w:val="1"/>
          <w:sz w:val="24"/>
          <w:szCs w:val="24"/>
          <w:rtl w:val="0"/>
        </w:rPr>
        <w:t xml:space="preserve">(Processing Personal Data).</w:t>
      </w:r>
      <w:r w:rsidDel="00000000" w:rsidR="00000000" w:rsidRPr="00000000">
        <w:rPr>
          <w:rtl w:val="0"/>
        </w:rPr>
      </w:r>
    </w:p>
    <w:p w:rsidR="00000000" w:rsidDel="00000000" w:rsidP="00000000" w:rsidRDefault="00000000" w:rsidRPr="00000000" w14:paraId="00000060">
      <w:pPr>
        <w:numPr>
          <w:ilvl w:val="1"/>
          <w:numId w:val="5"/>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measures to ensure a level of security appropriate to that risk, including, as appropriate, the measures referred to in Article 32(1)(a), (b), (c) and (d) of the UK GDPR, and the measures shall, at a minimum, comply with the requirements of the Data Protection Legislation, including Article 32 of the UK GDPR.</w:t>
      </w:r>
    </w:p>
    <w:p w:rsidR="00000000" w:rsidDel="00000000" w:rsidP="00000000" w:rsidRDefault="00000000" w:rsidRPr="00000000" w14:paraId="00000061">
      <w:pPr>
        <w:numPr>
          <w:ilvl w:val="1"/>
          <w:numId w:val="5"/>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Party Processing Personal Data for the purposes of the Contract shall maintain a record of its Processing activities in accordance with Article 30 UK GDPR and shall make the record available to the other Party upon reasonable request.</w:t>
      </w:r>
    </w:p>
    <w:p w:rsidR="00000000" w:rsidDel="00000000" w:rsidP="00000000" w:rsidRDefault="00000000" w:rsidRPr="00000000" w14:paraId="00000062">
      <w:pPr>
        <w:numPr>
          <w:ilvl w:val="1"/>
          <w:numId w:val="5"/>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a Party receives a request by any Data Subject to exercise any of their rights under the Data Protection Legislation in relation to the Personal Data provided to it by the other Party pursuant to the Contract </w:t>
      </w:r>
      <w:r w:rsidDel="00000000" w:rsidR="00000000" w:rsidRPr="00000000">
        <w:rPr>
          <w:rFonts w:ascii="Arial" w:cs="Arial" w:eastAsia="Arial" w:hAnsi="Arial"/>
          <w:b w:val="1"/>
          <w:bCs w:val="1"/>
          <w:sz w:val="24"/>
          <w:szCs w:val="24"/>
          <w:rtl w:val="0"/>
        </w:rPr>
        <w:t xml:space="preserve">(“Request Recipient”)</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63">
      <w:pPr>
        <w:numPr>
          <w:ilvl w:val="2"/>
          <w:numId w:val="5"/>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other Party shall provide any information and/or assistance as reasonably requested by the Request Recipient to help it respond to the request or correspondence, at the cost of the Request Recipient; or</w:t>
      </w:r>
    </w:p>
    <w:p w:rsidR="00000000" w:rsidDel="00000000" w:rsidP="00000000" w:rsidRDefault="00000000" w:rsidRPr="00000000" w14:paraId="00000064">
      <w:pPr>
        <w:numPr>
          <w:ilvl w:val="2"/>
          <w:numId w:val="5"/>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the request or correspondence is directed to the other Party and/or relates to that other Party's Processing of the Personal Data, the Request Recipient  will:</w:t>
      </w:r>
    </w:p>
    <w:p w:rsidR="00000000" w:rsidDel="00000000" w:rsidP="00000000" w:rsidRDefault="00000000" w:rsidRPr="00000000" w14:paraId="00000065">
      <w:pPr>
        <w:numPr>
          <w:ilvl w:val="3"/>
          <w:numId w:val="5"/>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promptly, and in any event within five (5) Working Days of receipt of the request or correspondence, inform the other Party that it has received the same and shall forward such request or correspondence to the other Party; and</w:t>
      </w:r>
    </w:p>
    <w:p w:rsidR="00000000" w:rsidDel="00000000" w:rsidP="00000000" w:rsidRDefault="00000000" w:rsidRPr="00000000" w14:paraId="00000066">
      <w:pPr>
        <w:numPr>
          <w:ilvl w:val="3"/>
          <w:numId w:val="5"/>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any information and/or assistance as reasonably requested by the other Party to help it respond to the request or correspondence in the timeframes specified by Data Protection Legislation.</w:t>
      </w:r>
    </w:p>
    <w:p w:rsidR="00000000" w:rsidDel="00000000" w:rsidP="00000000" w:rsidRDefault="00000000" w:rsidRPr="00000000" w14:paraId="00000067">
      <w:pPr>
        <w:numPr>
          <w:ilvl w:val="1"/>
          <w:numId w:val="5"/>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Each Party shall promptly notify the other Party upon it becoming aware of any Personal Data Breach relating to Personal Data provided by the other Party pursuant to the Contract and shall: </w:t>
      </w:r>
    </w:p>
    <w:p w:rsidR="00000000" w:rsidDel="00000000" w:rsidP="00000000" w:rsidRDefault="00000000" w:rsidRPr="00000000" w14:paraId="00000068">
      <w:pPr>
        <w:numPr>
          <w:ilvl w:val="2"/>
          <w:numId w:val="5"/>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do all such things as reasonably necessary to assist the other Party in mitigating the effects of the Personal Data Breach; </w:t>
      </w:r>
    </w:p>
    <w:p w:rsidR="00000000" w:rsidDel="00000000" w:rsidP="00000000" w:rsidRDefault="00000000" w:rsidRPr="00000000" w14:paraId="00000069">
      <w:pPr>
        <w:numPr>
          <w:ilvl w:val="2"/>
          <w:numId w:val="5"/>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implement any measures necessary to restore the security of any compromised Personal Data; </w:t>
      </w:r>
    </w:p>
    <w:p w:rsidR="00000000" w:rsidDel="00000000" w:rsidP="00000000" w:rsidRDefault="00000000" w:rsidRPr="00000000" w14:paraId="0000006A">
      <w:pPr>
        <w:numPr>
          <w:ilvl w:val="2"/>
          <w:numId w:val="5"/>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work with the other Party to make any required notifications to the Information Commissioner’s Office and affected Data Subjects in accordance with the Data Protection Legislation (including the timeframes set out therein); and</w:t>
      </w:r>
    </w:p>
    <w:p w:rsidR="00000000" w:rsidDel="00000000" w:rsidP="00000000" w:rsidRDefault="00000000" w:rsidRPr="00000000" w14:paraId="0000006B">
      <w:pPr>
        <w:numPr>
          <w:ilvl w:val="2"/>
          <w:numId w:val="5"/>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 do anything which may damage the reputation of the other Party or that Party's relationship with the relevant Data Subjects, save as required by Law. </w:t>
      </w:r>
    </w:p>
    <w:p w:rsidR="00000000" w:rsidDel="00000000" w:rsidP="00000000" w:rsidRDefault="00000000" w:rsidRPr="00000000" w14:paraId="0000006C">
      <w:pPr>
        <w:numPr>
          <w:ilvl w:val="1"/>
          <w:numId w:val="5"/>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Personal Data provided by one Party to the other Party may be used exclusively to exercise rights and obligations under the Contract as specified in Annex 1 </w:t>
      </w:r>
      <w:r w:rsidDel="00000000" w:rsidR="00000000" w:rsidRPr="00000000">
        <w:rPr>
          <w:rFonts w:ascii="Arial" w:cs="Arial" w:eastAsia="Arial" w:hAnsi="Arial"/>
          <w:i w:val="1"/>
          <w:iCs w:val="1"/>
          <w:sz w:val="24"/>
          <w:szCs w:val="24"/>
          <w:rtl w:val="0"/>
        </w:rPr>
        <w:t xml:space="preserve">(Processing Personal Data).</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6D">
      <w:pPr>
        <w:numPr>
          <w:ilvl w:val="1"/>
          <w:numId w:val="5"/>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Personal Data shall not be retained or processed for longer than is necessary to perform each Party’s respective obligations under the Contract which is specified in Annex 1 </w:t>
      </w:r>
      <w:r w:rsidDel="00000000" w:rsidR="00000000" w:rsidRPr="00000000">
        <w:rPr>
          <w:rFonts w:ascii="Arial" w:cs="Arial" w:eastAsia="Arial" w:hAnsi="Arial"/>
          <w:i w:val="1"/>
          <w:iCs w:val="1"/>
          <w:sz w:val="24"/>
          <w:szCs w:val="24"/>
          <w:rtl w:val="0"/>
        </w:rPr>
        <w:t xml:space="preserve">(Processing Personal Data)</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6E">
      <w:pPr>
        <w:numPr>
          <w:ilvl w:val="1"/>
          <w:numId w:val="5"/>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Notwithstanding the general application of paragraphs 2 to 16 of this Joint Schedule 11 to Personal Data, where the Supplier is required to exercise its regulatory and/or legal obligations in respect of Personal Data, it shall act as an Independent Controller of Personal Data in accordance with paragraphs 18 to 28 of this Joint Schedule 11.</w:t>
      </w:r>
    </w:p>
    <w:p w:rsidR="00000000" w:rsidDel="00000000" w:rsidP="00000000" w:rsidRDefault="00000000" w:rsidRPr="00000000" w14:paraId="0000006F">
      <w:pPr>
        <w:pBdr>
          <w:top w:space="0" w:sz="0" w:val="nil"/>
          <w:left w:space="0" w:sz="0" w:val="nil"/>
          <w:bottom w:space="0" w:sz="0" w:val="nil"/>
          <w:right w:space="0" w:sz="0" w:val="nil"/>
          <w:between w:space="0" w:sz="0" w:val="nil"/>
        </w:pBdr>
        <w:spacing w:after="120" w:before="280" w:lineRule="auto"/>
        <w:ind w:left="709"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0">
      <w:pPr>
        <w:pStyle w:val="Heading2"/>
        <w:spacing w:after="240" w:before="0" w:lineRule="auto"/>
        <w:ind w:left="709" w:hanging="709"/>
        <w:rPr>
          <w:rFonts w:ascii="Arial" w:cs="Arial" w:eastAsia="Arial" w:hAnsi="Arial"/>
          <w:b w:val="0"/>
          <w:bCs w:val="0"/>
          <w:sz w:val="24"/>
          <w:szCs w:val="24"/>
        </w:rPr>
      </w:pPr>
      <w:r w:rsidDel="00000000" w:rsidR="00000000" w:rsidRPr="00000000">
        <w:br w:type="page"/>
      </w:r>
      <w:r w:rsidDel="00000000" w:rsidR="00000000" w:rsidRPr="00000000">
        <w:rPr>
          <w:rFonts w:ascii="Arial" w:cs="Arial" w:eastAsia="Arial" w:hAnsi="Arial"/>
          <w:sz w:val="24"/>
          <w:szCs w:val="24"/>
          <w:rtl w:val="0"/>
        </w:rPr>
        <w:t xml:space="preserve">Annex 1 - Processing Personal Data</w:t>
      </w:r>
      <w:r w:rsidDel="00000000" w:rsidR="00000000" w:rsidRPr="00000000">
        <w:rPr>
          <w:rtl w:val="0"/>
        </w:rPr>
      </w:r>
    </w:p>
    <w:p w:rsidR="00000000" w:rsidDel="00000000" w:rsidP="00000000" w:rsidRDefault="00000000" w:rsidRPr="00000000" w14:paraId="00000071">
      <w:pPr>
        <w:rPr>
          <w:rFonts w:ascii="Arial" w:cs="Arial" w:eastAsia="Arial" w:hAnsi="Arial"/>
          <w:sz w:val="24"/>
          <w:szCs w:val="24"/>
        </w:rPr>
      </w:pPr>
      <w:r w:rsidDel="00000000" w:rsidR="00000000" w:rsidRPr="00000000">
        <w:rPr>
          <w:rFonts w:ascii="Arial" w:cs="Arial" w:eastAsia="Arial" w:hAnsi="Arial"/>
          <w:sz w:val="24"/>
          <w:szCs w:val="24"/>
          <w:rtl w:val="0"/>
        </w:rPr>
        <w:t xml:space="preserve">This Annex shall be completed by the Controller, who may take account of the view of the Processors, however the final decision as to the content of this Annex shall be with the Relevant Authority at its absolute discretion.  </w:t>
      </w:r>
    </w:p>
    <w:p w:rsidR="00000000" w:rsidDel="00000000" w:rsidP="00000000" w:rsidRDefault="00000000" w:rsidRPr="00000000" w14:paraId="00000072">
      <w:pPr>
        <w:keepNext w:val="1"/>
        <w:numPr>
          <w:ilvl w:val="3"/>
          <w:numId w:val="10"/>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contact details of the Relevant Authority’s Data Protection Officer are: </w:t>
      </w:r>
    </w:p>
    <w:p w:rsidR="00000000" w:rsidDel="00000000" w:rsidP="00000000" w:rsidRDefault="00000000" w:rsidRPr="00000000" w14:paraId="00000073">
      <w:pPr>
        <w:keepNext w:val="1"/>
        <w:spacing w:after="0" w:line="240" w:lineRule="auto"/>
        <w:ind w:left="720"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4">
      <w:pPr>
        <w:keepNext w:val="1"/>
        <w:numPr>
          <w:ilvl w:val="3"/>
          <w:numId w:val="10"/>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contact details of the Supplier’s Data Protection Officer are: </w:t>
      </w:r>
    </w:p>
    <w:p w:rsidR="00000000" w:rsidDel="00000000" w:rsidP="00000000" w:rsidRDefault="00000000" w:rsidRPr="00000000" w14:paraId="00000075">
      <w:pPr>
        <w:keepNext w:val="1"/>
        <w:spacing w:after="0" w:line="240" w:lineRule="auto"/>
        <w:ind w:left="720" w:firstLine="0"/>
        <w:jc w:val="both"/>
        <w:rPr>
          <w:rFonts w:ascii="Arial" w:cs="Arial" w:eastAsia="Arial" w:hAnsi="Arial"/>
          <w:b w:val="1"/>
          <w:bCs w:val="1"/>
          <w:sz w:val="24"/>
          <w:szCs w:val="24"/>
          <w:highlight w:val="yellow"/>
        </w:rPr>
      </w:pPr>
      <w:r w:rsidDel="00000000" w:rsidR="00000000" w:rsidRPr="00000000">
        <w:rPr>
          <w:rtl w:val="0"/>
        </w:rPr>
      </w:r>
    </w:p>
    <w:p w:rsidR="00000000" w:rsidDel="00000000" w:rsidP="00000000" w:rsidRDefault="00000000" w:rsidRPr="00000000" w14:paraId="00000076">
      <w:pPr>
        <w:keepNext w:val="1"/>
        <w:numPr>
          <w:ilvl w:val="3"/>
          <w:numId w:val="10"/>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comply with any further written instructions with respect to Processing by the Controller.</w:t>
      </w:r>
    </w:p>
    <w:p w:rsidR="00000000" w:rsidDel="00000000" w:rsidP="00000000" w:rsidRDefault="00000000" w:rsidRPr="00000000" w14:paraId="00000077">
      <w:pPr>
        <w:keepNext w:val="1"/>
        <w:numPr>
          <w:ilvl w:val="3"/>
          <w:numId w:val="10"/>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such further instructions shall be incorporated into this Annex.</w:t>
      </w:r>
    </w:p>
    <w:p w:rsidR="00000000" w:rsidDel="00000000" w:rsidP="00000000" w:rsidRDefault="00000000" w:rsidRPr="00000000" w14:paraId="00000078">
      <w:pPr>
        <w:keepNext w:val="1"/>
        <w:ind w:left="720" w:firstLine="0"/>
        <w:rPr>
          <w:rFonts w:ascii="Arial" w:cs="Arial" w:eastAsia="Arial" w:hAnsi="Arial"/>
          <w:sz w:val="24"/>
          <w:szCs w:val="24"/>
        </w:rPr>
      </w:pPr>
      <w:r w:rsidDel="00000000" w:rsidR="00000000" w:rsidRPr="00000000">
        <w:rPr>
          <w:rtl w:val="0"/>
        </w:rPr>
      </w:r>
    </w:p>
    <w:tbl>
      <w:tblPr>
        <w:tblStyle w:val="Table2"/>
        <w:tblW w:w="968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63"/>
        <w:gridCol w:w="7423"/>
        <w:tblGridChange w:id="0">
          <w:tblGrid>
            <w:gridCol w:w="2263"/>
            <w:gridCol w:w="7423"/>
          </w:tblGrid>
        </w:tblGridChange>
      </w:tblGrid>
      <w:tr>
        <w:trPr>
          <w:cantSplit w:val="0"/>
          <w:trHeight w:val="700" w:hRule="atLeast"/>
          <w:tblHeader w:val="0"/>
        </w:trPr>
        <w:tc>
          <w:tcPr>
            <w:shd w:fill="bfbfbf" w:val="clear"/>
            <w:vAlign w:val="center"/>
          </w:tcPr>
          <w:p w:rsidR="00000000" w:rsidDel="00000000" w:rsidP="00000000" w:rsidRDefault="00000000" w:rsidRPr="00000000" w14:paraId="00000079">
            <w:pPr>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Description</w:t>
            </w:r>
          </w:p>
        </w:tc>
        <w:tc>
          <w:tcPr>
            <w:shd w:fill="bfbfbf" w:val="clear"/>
            <w:vAlign w:val="center"/>
          </w:tcPr>
          <w:p w:rsidR="00000000" w:rsidDel="00000000" w:rsidP="00000000" w:rsidRDefault="00000000" w:rsidRPr="00000000" w14:paraId="0000007A">
            <w:pPr>
              <w:jc w:val="center"/>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Details</w:t>
            </w:r>
          </w:p>
        </w:tc>
      </w:tr>
      <w:tr>
        <w:trPr>
          <w:cantSplit w:val="0"/>
          <w:trHeight w:val="1620" w:hRule="atLeast"/>
          <w:tblHeader w:val="0"/>
        </w:trPr>
        <w:tc>
          <w:tcPr>
            <w:shd w:fill="auto" w:val="clear"/>
          </w:tcPr>
          <w:p w:rsidR="00000000" w:rsidDel="00000000" w:rsidP="00000000" w:rsidRDefault="00000000" w:rsidRPr="00000000" w14:paraId="0000007B">
            <w:pPr>
              <w:rPr>
                <w:rFonts w:ascii="Arial" w:cs="Arial" w:eastAsia="Arial" w:hAnsi="Arial"/>
                <w:sz w:val="24"/>
                <w:szCs w:val="24"/>
              </w:rPr>
            </w:pPr>
            <w:r w:rsidDel="00000000" w:rsidR="00000000" w:rsidRPr="00000000">
              <w:rPr>
                <w:rFonts w:ascii="Arial" w:cs="Arial" w:eastAsia="Arial" w:hAnsi="Arial"/>
                <w:sz w:val="24"/>
                <w:szCs w:val="24"/>
                <w:rtl w:val="0"/>
              </w:rPr>
              <w:t xml:space="preserve">Identity of Controller and Processor for each Category of Personal Data</w:t>
            </w:r>
          </w:p>
        </w:tc>
        <w:tc>
          <w:tcPr>
            <w:shd w:fill="auto" w:val="clear"/>
          </w:tcPr>
          <w:p w:rsidR="00000000" w:rsidDel="00000000" w:rsidP="00000000" w:rsidRDefault="00000000" w:rsidRPr="00000000" w14:paraId="0000007C">
            <w:pPr>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The Relevant Authority is Controller and the Supplier is Processor</w:t>
            </w:r>
          </w:p>
          <w:p w:rsidR="00000000" w:rsidDel="00000000" w:rsidP="00000000" w:rsidRDefault="00000000" w:rsidRPr="00000000" w14:paraId="0000007D">
            <w:pPr>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acknowledge that in accordance with paragraph 3 to paragraph 16 and for the purposes of the Data Protection Legislation, the Relevant Authority is the Controller and the Supplier is the Processor of the following Personal Data:</w:t>
            </w:r>
          </w:p>
          <w:p w:rsidR="00000000" w:rsidDel="00000000" w:rsidP="00000000" w:rsidRDefault="00000000" w:rsidRPr="00000000" w14:paraId="0000007E">
            <w:pPr>
              <w:ind w:left="0" w:firstLine="0"/>
              <w:jc w:val="both"/>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07F">
            <w:pPr>
              <w:numPr>
                <w:ilvl w:val="0"/>
                <w:numId w:val="11"/>
              </w:numPr>
              <w:ind w:left="720" w:hanging="360"/>
              <w:jc w:val="both"/>
              <w:rPr>
                <w:rFonts w:ascii="Arial" w:cs="Arial" w:eastAsia="Arial" w:hAnsi="Arial"/>
                <w:i w:val="1"/>
                <w:iCs w:val="1"/>
                <w:sz w:val="24"/>
                <w:szCs w:val="24"/>
              </w:rPr>
            </w:pPr>
            <w:r w:rsidDel="00000000" w:rsidR="00000000" w:rsidRPr="00000000">
              <w:rPr>
                <w:rFonts w:ascii="Arial" w:cs="Arial" w:eastAsia="Arial" w:hAnsi="Arial"/>
                <w:b w:val="1"/>
                <w:bCs w:val="1"/>
                <w:i w:val="1"/>
                <w:iCs w:val="1"/>
                <w:sz w:val="24"/>
                <w:szCs w:val="24"/>
                <w:rtl w:val="0"/>
              </w:rPr>
              <w:t xml:space="preserve">[Insert </w:t>
            </w:r>
            <w:r w:rsidDel="00000000" w:rsidR="00000000" w:rsidRPr="00000000">
              <w:rPr>
                <w:rFonts w:ascii="Arial" w:cs="Arial" w:eastAsia="Arial" w:hAnsi="Arial"/>
                <w:i w:val="1"/>
                <w:iCs w:val="1"/>
                <w:sz w:val="24"/>
                <w:szCs w:val="24"/>
                <w:rtl w:val="0"/>
              </w:rPr>
              <w:t xml:space="preserve">the scope of Personal Data which the purposes and means of the Processing by the Relevant Authority  is determined by the Supplier]</w:t>
            </w:r>
            <w:r w:rsidDel="00000000" w:rsidR="00000000" w:rsidRPr="00000000">
              <w:rPr>
                <w:rtl w:val="0"/>
              </w:rPr>
            </w:r>
          </w:p>
          <w:p w:rsidR="00000000" w:rsidDel="00000000" w:rsidP="00000000" w:rsidRDefault="00000000" w:rsidRPr="00000000" w14:paraId="00000080">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1">
            <w:pPr>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The Supplier is Controller and the Relevant Authority is Processor</w:t>
            </w:r>
          </w:p>
          <w:p w:rsidR="00000000" w:rsidDel="00000000" w:rsidP="00000000" w:rsidRDefault="00000000" w:rsidRPr="00000000" w14:paraId="00000082">
            <w:pPr>
              <w:rPr>
                <w:rFonts w:ascii="Arial" w:cs="Arial" w:eastAsia="Arial" w:hAnsi="Arial"/>
                <w:i w:val="1"/>
                <w:iCs w:val="1"/>
                <w:sz w:val="24"/>
                <w:szCs w:val="24"/>
              </w:rPr>
            </w:pPr>
            <w:r w:rsidDel="00000000" w:rsidR="00000000" w:rsidRPr="00000000">
              <w:rPr>
                <w:rtl w:val="0"/>
              </w:rPr>
            </w:r>
          </w:p>
          <w:p w:rsidR="00000000" w:rsidDel="00000000" w:rsidP="00000000" w:rsidRDefault="00000000" w:rsidRPr="00000000" w14:paraId="00000083">
            <w:pPr>
              <w:rPr>
                <w:rFonts w:ascii="Arial" w:cs="Arial" w:eastAsia="Arial" w:hAnsi="Arial"/>
                <w:i w:val="1"/>
                <w:iCs w:val="1"/>
                <w:sz w:val="24"/>
                <w:szCs w:val="24"/>
              </w:rPr>
            </w:pPr>
            <w:r w:rsidDel="00000000" w:rsidR="00000000" w:rsidRPr="00000000">
              <w:rPr>
                <w:rFonts w:ascii="Arial" w:cs="Arial" w:eastAsia="Arial" w:hAnsi="Arial"/>
                <w:i w:val="1"/>
                <w:iCs w:val="1"/>
                <w:sz w:val="24"/>
                <w:szCs w:val="24"/>
                <w:rtl w:val="0"/>
              </w:rPr>
              <w:t xml:space="preserve">The Parties acknowledge that for the purposes of the Data Protection Legislation, the Supplier is the Controller and the Relevant Authority is the Processor in accordance with paragraph </w:t>
            </w:r>
            <w:r w:rsidDel="00000000" w:rsidR="00000000" w:rsidRPr="00000000">
              <w:rPr>
                <w:rFonts w:ascii="Arial" w:cs="Arial" w:eastAsia="Arial" w:hAnsi="Arial"/>
                <w:sz w:val="24"/>
                <w:szCs w:val="24"/>
                <w:rtl w:val="0"/>
              </w:rPr>
              <w:t xml:space="preserve">3 </w:t>
            </w:r>
            <w:r w:rsidDel="00000000" w:rsidR="00000000" w:rsidRPr="00000000">
              <w:rPr>
                <w:rFonts w:ascii="Arial" w:cs="Arial" w:eastAsia="Arial" w:hAnsi="Arial"/>
                <w:i w:val="1"/>
                <w:iCs w:val="1"/>
                <w:sz w:val="24"/>
                <w:szCs w:val="24"/>
                <w:rtl w:val="0"/>
              </w:rPr>
              <w:t xml:space="preserve">to paragraph 16</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i w:val="1"/>
                <w:iCs w:val="1"/>
                <w:sz w:val="24"/>
                <w:szCs w:val="24"/>
                <w:rtl w:val="0"/>
              </w:rPr>
              <w:t xml:space="preserve">of the following Personal Data:</w:t>
            </w:r>
          </w:p>
          <w:p w:rsidR="00000000" w:rsidDel="00000000" w:rsidP="00000000" w:rsidRDefault="00000000" w:rsidRPr="00000000" w14:paraId="00000084">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5">
            <w:pPr>
              <w:numPr>
                <w:ilvl w:val="0"/>
                <w:numId w:val="11"/>
              </w:numPr>
              <w:pBdr>
                <w:top w:space="0" w:sz="0" w:val="nil"/>
                <w:left w:space="0" w:sz="0" w:val="nil"/>
                <w:bottom w:space="0" w:sz="0" w:val="nil"/>
                <w:right w:space="0" w:sz="0" w:val="nil"/>
                <w:between w:space="0" w:sz="0" w:val="nil"/>
              </w:pBdr>
              <w:ind w:left="720" w:hanging="360"/>
              <w:jc w:val="both"/>
              <w:rPr>
                <w:rFonts w:ascii="Arial" w:cs="Arial" w:eastAsia="Arial" w:hAnsi="Arial"/>
                <w:i w:val="1"/>
                <w:iCs w:val="1"/>
                <w:sz w:val="24"/>
                <w:szCs w:val="24"/>
              </w:rPr>
            </w:pPr>
            <w:r w:rsidDel="00000000" w:rsidR="00000000" w:rsidRPr="00000000">
              <w:rPr>
                <w:rFonts w:ascii="Arial" w:cs="Arial" w:eastAsia="Arial" w:hAnsi="Arial"/>
                <w:b w:val="1"/>
                <w:bCs w:val="1"/>
                <w:i w:val="1"/>
                <w:iCs w:val="1"/>
                <w:sz w:val="24"/>
                <w:szCs w:val="24"/>
                <w:rtl w:val="0"/>
              </w:rPr>
              <w:t xml:space="preserve">[Insert </w:t>
            </w:r>
            <w:r w:rsidDel="00000000" w:rsidR="00000000" w:rsidRPr="00000000">
              <w:rPr>
                <w:rFonts w:ascii="Arial" w:cs="Arial" w:eastAsia="Arial" w:hAnsi="Arial"/>
                <w:i w:val="1"/>
                <w:iCs w:val="1"/>
                <w:sz w:val="24"/>
                <w:szCs w:val="24"/>
                <w:rtl w:val="0"/>
              </w:rPr>
              <w:t xml:space="preserve">the scope of Personal Data which the purposes and means of the Processing by the Relevant Authority  is determined by the Supplier]</w:t>
            </w:r>
          </w:p>
          <w:p w:rsidR="00000000" w:rsidDel="00000000" w:rsidP="00000000" w:rsidRDefault="00000000" w:rsidRPr="00000000" w14:paraId="00000086">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7">
            <w:pPr>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The Parties are Joint Controllers</w:t>
            </w:r>
          </w:p>
          <w:p w:rsidR="00000000" w:rsidDel="00000000" w:rsidP="00000000" w:rsidRDefault="00000000" w:rsidRPr="00000000" w14:paraId="00000088">
            <w:pPr>
              <w:rPr>
                <w:rFonts w:ascii="Arial" w:cs="Arial" w:eastAsia="Arial" w:hAnsi="Arial"/>
                <w:i w:val="1"/>
                <w:iCs w:val="1"/>
                <w:sz w:val="24"/>
                <w:szCs w:val="24"/>
              </w:rPr>
            </w:pPr>
            <w:r w:rsidDel="00000000" w:rsidR="00000000" w:rsidRPr="00000000">
              <w:rPr>
                <w:rtl w:val="0"/>
              </w:rPr>
            </w:r>
          </w:p>
          <w:p w:rsidR="00000000" w:rsidDel="00000000" w:rsidP="00000000" w:rsidRDefault="00000000" w:rsidRPr="00000000" w14:paraId="00000089">
            <w:pPr>
              <w:rPr>
                <w:rFonts w:ascii="Arial" w:cs="Arial" w:eastAsia="Arial" w:hAnsi="Arial"/>
                <w:i w:val="1"/>
                <w:iCs w:val="1"/>
                <w:sz w:val="24"/>
                <w:szCs w:val="24"/>
              </w:rPr>
            </w:pPr>
            <w:r w:rsidDel="00000000" w:rsidR="00000000" w:rsidRPr="00000000">
              <w:rPr>
                <w:rFonts w:ascii="Arial" w:cs="Arial" w:eastAsia="Arial" w:hAnsi="Arial"/>
                <w:i w:val="1"/>
                <w:iCs w:val="1"/>
                <w:sz w:val="24"/>
                <w:szCs w:val="24"/>
                <w:rtl w:val="0"/>
              </w:rPr>
              <w:t xml:space="preserve">The Parties acknowledge that they are Joint Controllers for the purposes of the Data Protection Legislation in respect of:</w:t>
            </w:r>
          </w:p>
          <w:p w:rsidR="00000000" w:rsidDel="00000000" w:rsidP="00000000" w:rsidRDefault="00000000" w:rsidRPr="00000000" w14:paraId="0000008A">
            <w:pPr>
              <w:rPr>
                <w:rFonts w:ascii="Arial" w:cs="Arial" w:eastAsia="Arial" w:hAnsi="Arial"/>
                <w:b w:val="1"/>
                <w:bCs w:val="1"/>
                <w:i w:val="1"/>
                <w:iCs w:val="1"/>
                <w:sz w:val="24"/>
                <w:szCs w:val="24"/>
              </w:rPr>
            </w:pPr>
            <w:r w:rsidDel="00000000" w:rsidR="00000000" w:rsidRPr="00000000">
              <w:rPr>
                <w:rtl w:val="0"/>
              </w:rPr>
            </w:r>
          </w:p>
          <w:p w:rsidR="00000000" w:rsidDel="00000000" w:rsidP="00000000" w:rsidRDefault="00000000" w:rsidRPr="00000000" w14:paraId="0000008B">
            <w:pPr>
              <w:numPr>
                <w:ilvl w:val="0"/>
                <w:numId w:val="8"/>
              </w:numPr>
              <w:pBdr>
                <w:top w:space="0" w:sz="0" w:val="nil"/>
                <w:left w:space="0" w:sz="0" w:val="nil"/>
                <w:bottom w:space="0" w:sz="0" w:val="nil"/>
                <w:right w:space="0" w:sz="0" w:val="nil"/>
                <w:between w:space="0" w:sz="0" w:val="nil"/>
              </w:pBdr>
              <w:ind w:left="720" w:hanging="360"/>
              <w:jc w:val="both"/>
              <w:rPr>
                <w:rFonts w:ascii="Arial" w:cs="Arial" w:eastAsia="Arial" w:hAnsi="Arial"/>
                <w:i w:val="1"/>
                <w:iCs w:val="1"/>
                <w:sz w:val="24"/>
                <w:szCs w:val="24"/>
              </w:rPr>
            </w:pPr>
            <w:r w:rsidDel="00000000" w:rsidR="00000000" w:rsidRPr="00000000">
              <w:rPr>
                <w:rFonts w:ascii="Arial" w:cs="Arial" w:eastAsia="Arial" w:hAnsi="Arial"/>
                <w:b w:val="1"/>
                <w:bCs w:val="1"/>
                <w:i w:val="1"/>
                <w:iCs w:val="1"/>
                <w:sz w:val="24"/>
                <w:szCs w:val="24"/>
                <w:rtl w:val="0"/>
              </w:rPr>
              <w:t xml:space="preserve">[Insert </w:t>
            </w:r>
            <w:r w:rsidDel="00000000" w:rsidR="00000000" w:rsidRPr="00000000">
              <w:rPr>
                <w:rFonts w:ascii="Arial" w:cs="Arial" w:eastAsia="Arial" w:hAnsi="Arial"/>
                <w:i w:val="1"/>
                <w:iCs w:val="1"/>
                <w:sz w:val="24"/>
                <w:szCs w:val="24"/>
                <w:rtl w:val="0"/>
              </w:rPr>
              <w:t xml:space="preserve">the scope of Personal Data which the purposes and means of the Processing is determined by the both Parties together]</w:t>
            </w:r>
          </w:p>
          <w:p w:rsidR="00000000" w:rsidDel="00000000" w:rsidP="00000000" w:rsidRDefault="00000000" w:rsidRPr="00000000" w14:paraId="0000008C">
            <w:pPr>
              <w:rPr>
                <w:rFonts w:ascii="Arial" w:cs="Arial" w:eastAsia="Arial" w:hAnsi="Arial"/>
                <w:i w:val="1"/>
                <w:iCs w:val="1"/>
                <w:sz w:val="24"/>
                <w:szCs w:val="24"/>
              </w:rPr>
            </w:pPr>
            <w:r w:rsidDel="00000000" w:rsidR="00000000" w:rsidRPr="00000000">
              <w:rPr>
                <w:rtl w:val="0"/>
              </w:rPr>
            </w:r>
          </w:p>
          <w:p w:rsidR="00000000" w:rsidDel="00000000" w:rsidP="00000000" w:rsidRDefault="00000000" w:rsidRPr="00000000" w14:paraId="0000008D">
            <w:pPr>
              <w:rPr>
                <w:rFonts w:ascii="Arial" w:cs="Arial" w:eastAsia="Arial" w:hAnsi="Arial"/>
                <w:i w:val="1"/>
                <w:iCs w:val="1"/>
                <w:sz w:val="24"/>
                <w:szCs w:val="24"/>
              </w:rPr>
            </w:pPr>
            <w:r w:rsidDel="00000000" w:rsidR="00000000" w:rsidRPr="00000000">
              <w:rPr>
                <w:rFonts w:ascii="Arial" w:cs="Arial" w:eastAsia="Arial" w:hAnsi="Arial"/>
                <w:i w:val="1"/>
                <w:iCs w:val="1"/>
                <w:sz w:val="24"/>
                <w:szCs w:val="24"/>
                <w:rtl w:val="0"/>
              </w:rPr>
              <w:t xml:space="preserve"> </w:t>
            </w:r>
          </w:p>
          <w:p w:rsidR="00000000" w:rsidDel="00000000" w:rsidP="00000000" w:rsidRDefault="00000000" w:rsidRPr="00000000" w14:paraId="0000008E">
            <w:pPr>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The Parties are Independent Controllers of Personal Data</w:t>
            </w:r>
          </w:p>
          <w:p w:rsidR="00000000" w:rsidDel="00000000" w:rsidP="00000000" w:rsidRDefault="00000000" w:rsidRPr="00000000" w14:paraId="0000008F">
            <w:pPr>
              <w:rPr>
                <w:rFonts w:ascii="Arial" w:cs="Arial" w:eastAsia="Arial" w:hAnsi="Arial"/>
                <w:b w:val="1"/>
                <w:bCs w:val="1"/>
                <w:i w:val="1"/>
                <w:iCs w:val="1"/>
                <w:sz w:val="24"/>
                <w:szCs w:val="24"/>
              </w:rPr>
            </w:pPr>
            <w:r w:rsidDel="00000000" w:rsidR="00000000" w:rsidRPr="00000000">
              <w:rPr>
                <w:rtl w:val="0"/>
              </w:rPr>
            </w:r>
          </w:p>
          <w:p w:rsidR="00000000" w:rsidDel="00000000" w:rsidP="00000000" w:rsidRDefault="00000000" w:rsidRPr="00000000" w14:paraId="00000090">
            <w:pPr>
              <w:rPr>
                <w:rFonts w:ascii="Arial" w:cs="Arial" w:eastAsia="Arial" w:hAnsi="Arial"/>
                <w:i w:val="1"/>
                <w:iCs w:val="1"/>
                <w:sz w:val="24"/>
                <w:szCs w:val="24"/>
              </w:rPr>
            </w:pPr>
            <w:r w:rsidDel="00000000" w:rsidR="00000000" w:rsidRPr="00000000">
              <w:rPr>
                <w:rFonts w:ascii="Arial" w:cs="Arial" w:eastAsia="Arial" w:hAnsi="Arial"/>
                <w:i w:val="1"/>
                <w:iCs w:val="1"/>
                <w:sz w:val="24"/>
                <w:szCs w:val="24"/>
                <w:rtl w:val="0"/>
              </w:rPr>
              <w:t xml:space="preserve">The Parties acknowledge that they are Independent Controllers for the purposes of the Data Protection Legislation in respect of:</w:t>
            </w:r>
          </w:p>
          <w:p w:rsidR="00000000" w:rsidDel="00000000" w:rsidP="00000000" w:rsidRDefault="00000000" w:rsidRPr="00000000" w14:paraId="00000091">
            <w:pPr>
              <w:numPr>
                <w:ilvl w:val="0"/>
                <w:numId w:val="7"/>
              </w:numPr>
              <w:pBdr>
                <w:top w:space="0" w:sz="0" w:val="nil"/>
                <w:left w:space="0" w:sz="0" w:val="nil"/>
                <w:bottom w:space="0" w:sz="0" w:val="nil"/>
                <w:right w:space="0" w:sz="0" w:val="nil"/>
                <w:between w:space="0" w:sz="0" w:val="nil"/>
              </w:pBdr>
              <w:ind w:left="720" w:hanging="360"/>
              <w:jc w:val="both"/>
              <w:rPr>
                <w:rFonts w:ascii="Arial" w:cs="Arial" w:eastAsia="Arial" w:hAnsi="Arial"/>
                <w:i w:val="1"/>
                <w:iCs w:val="1"/>
                <w:sz w:val="24"/>
                <w:szCs w:val="24"/>
              </w:rPr>
            </w:pPr>
            <w:r w:rsidDel="00000000" w:rsidR="00000000" w:rsidRPr="00000000">
              <w:rPr>
                <w:rFonts w:ascii="Arial" w:cs="Arial" w:eastAsia="Arial" w:hAnsi="Arial"/>
                <w:i w:val="1"/>
                <w:iCs w:val="1"/>
                <w:sz w:val="24"/>
                <w:szCs w:val="24"/>
                <w:rtl w:val="0"/>
              </w:rPr>
              <w:t xml:space="preserve">Business contact details of Supplier Personnel for which the Supplier is the Controller,</w:t>
            </w:r>
          </w:p>
          <w:p w:rsidR="00000000" w:rsidDel="00000000" w:rsidP="00000000" w:rsidRDefault="00000000" w:rsidRPr="00000000" w14:paraId="00000092">
            <w:pPr>
              <w:numPr>
                <w:ilvl w:val="0"/>
                <w:numId w:val="7"/>
              </w:numPr>
              <w:pBdr>
                <w:top w:space="0" w:sz="0" w:val="nil"/>
                <w:left w:space="0" w:sz="0" w:val="nil"/>
                <w:bottom w:space="0" w:sz="0" w:val="nil"/>
                <w:right w:space="0" w:sz="0" w:val="nil"/>
                <w:between w:space="0" w:sz="0" w:val="nil"/>
              </w:pBdr>
              <w:ind w:left="720" w:hanging="360"/>
              <w:jc w:val="both"/>
              <w:rPr>
                <w:rFonts w:ascii="Arial" w:cs="Arial" w:eastAsia="Arial" w:hAnsi="Arial"/>
                <w:i w:val="1"/>
                <w:iCs w:val="1"/>
                <w:sz w:val="24"/>
                <w:szCs w:val="24"/>
              </w:rPr>
            </w:pPr>
            <w:r w:rsidDel="00000000" w:rsidR="00000000" w:rsidRPr="00000000">
              <w:rPr>
                <w:rFonts w:ascii="Arial" w:cs="Arial" w:eastAsia="Arial" w:hAnsi="Arial"/>
                <w:i w:val="1"/>
                <w:iCs w:val="1"/>
                <w:sz w:val="24"/>
                <w:szCs w:val="24"/>
                <w:rtl w:val="0"/>
              </w:rPr>
              <w:t xml:space="preserve">Business contact details of any</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i w:val="1"/>
                <w:iCs w:val="1"/>
                <w:sz w:val="24"/>
                <w:szCs w:val="24"/>
                <w:rtl w:val="0"/>
              </w:rPr>
              <w:t xml:space="preserve">directors, officers, employees, agents, consultants and contractors of Relevant Authority (excluding the Supplier Personnel) engaged in the performance of the Relevant Authority’s duties under the Contract) for which the Relevant Authority is the Controller,</w:t>
            </w:r>
          </w:p>
          <w:p w:rsidR="00000000" w:rsidDel="00000000" w:rsidP="00000000" w:rsidRDefault="00000000" w:rsidRPr="00000000" w14:paraId="00000093">
            <w:pPr>
              <w:numPr>
                <w:ilvl w:val="0"/>
                <w:numId w:val="7"/>
              </w:numPr>
              <w:pBdr>
                <w:top w:space="0" w:sz="0" w:val="nil"/>
                <w:left w:space="0" w:sz="0" w:val="nil"/>
                <w:bottom w:space="0" w:sz="0" w:val="nil"/>
                <w:right w:space="0" w:sz="0" w:val="nil"/>
                <w:between w:space="0" w:sz="0" w:val="nil"/>
              </w:pBdr>
              <w:ind w:left="720" w:hanging="360"/>
              <w:jc w:val="both"/>
              <w:rPr>
                <w:rFonts w:ascii="Arial" w:cs="Arial" w:eastAsia="Arial" w:hAnsi="Arial"/>
                <w:i w:val="1"/>
                <w:iCs w:val="1"/>
                <w:sz w:val="24"/>
                <w:szCs w:val="24"/>
              </w:rPr>
            </w:pPr>
            <w:r w:rsidDel="00000000" w:rsidR="00000000" w:rsidRPr="00000000">
              <w:rPr>
                <w:rFonts w:ascii="Arial" w:cs="Arial" w:eastAsia="Arial" w:hAnsi="Arial"/>
                <w:b w:val="1"/>
                <w:bCs w:val="1"/>
                <w:i w:val="1"/>
                <w:iCs w:val="1"/>
                <w:sz w:val="24"/>
                <w:szCs w:val="24"/>
                <w:rtl w:val="0"/>
              </w:rPr>
              <w:t xml:space="preserve">[Insert </w:t>
            </w:r>
            <w:r w:rsidDel="00000000" w:rsidR="00000000" w:rsidRPr="00000000">
              <w:rPr>
                <w:rFonts w:ascii="Arial" w:cs="Arial" w:eastAsia="Arial" w:hAnsi="Arial"/>
                <w:i w:val="1"/>
                <w:iCs w:val="1"/>
                <w:sz w:val="24"/>
                <w:szCs w:val="24"/>
                <w:rtl w:val="0"/>
              </w:rPr>
              <w:t xml:space="preserve">the scope of other Personal Data provided by one Party who is Controller to the other Party who will separately determine the nature and purposes of its Processing the Personal Data on receipt e.g. where (1) the Supplier has professional or regulatory obligations in respect of Personal Data received, (2) a standardised service is such that the Relevant Authority cannot dictate the way in which Personal Data is processed by the Supplier, or (3) where the  Supplier comes to the transaction with Personal Data for which it is already Controller for use by the Relevant Authority] </w:t>
            </w:r>
          </w:p>
          <w:p w:rsidR="00000000" w:rsidDel="00000000" w:rsidP="00000000" w:rsidRDefault="00000000" w:rsidRPr="00000000" w14:paraId="00000094">
            <w:pPr>
              <w:rPr>
                <w:rFonts w:ascii="Arial" w:cs="Arial" w:eastAsia="Arial" w:hAnsi="Arial"/>
                <w:i w:val="1"/>
                <w:iCs w:val="1"/>
                <w:sz w:val="24"/>
                <w:szCs w:val="24"/>
              </w:rPr>
            </w:pPr>
            <w:r w:rsidDel="00000000" w:rsidR="00000000" w:rsidRPr="00000000">
              <w:rPr>
                <w:rFonts w:ascii="Arial" w:cs="Arial" w:eastAsia="Arial" w:hAnsi="Arial"/>
                <w:i w:val="1"/>
                <w:iCs w:val="1"/>
                <w:sz w:val="24"/>
                <w:szCs w:val="24"/>
                <w:rtl w:val="0"/>
              </w:rPr>
              <w:t xml:space="preserve"> </w:t>
            </w:r>
          </w:p>
          <w:p w:rsidR="00000000" w:rsidDel="00000000" w:rsidP="00000000" w:rsidRDefault="00000000" w:rsidRPr="00000000" w14:paraId="00000095">
            <w:pPr>
              <w:rPr>
                <w:rFonts w:ascii="Arial" w:cs="Arial" w:eastAsia="Arial" w:hAnsi="Arial"/>
                <w:i w:val="1"/>
                <w:iCs w:val="1"/>
                <w:sz w:val="24"/>
                <w:szCs w:val="24"/>
              </w:rPr>
            </w:pPr>
            <w:r w:rsidDel="00000000" w:rsidR="00000000" w:rsidRPr="00000000">
              <w:rPr>
                <w:rFonts w:ascii="Arial" w:cs="Arial" w:eastAsia="Arial" w:hAnsi="Arial"/>
                <w:b w:val="1"/>
                <w:bCs w:val="1"/>
                <w:i w:val="1"/>
                <w:iCs w:val="1"/>
                <w:sz w:val="24"/>
                <w:szCs w:val="24"/>
                <w:rtl w:val="0"/>
              </w:rPr>
              <w:t xml:space="preserve">[Guidance </w:t>
            </w:r>
            <w:r w:rsidDel="00000000" w:rsidR="00000000" w:rsidRPr="00000000">
              <w:rPr>
                <w:rFonts w:ascii="Arial" w:cs="Arial" w:eastAsia="Arial" w:hAnsi="Arial"/>
                <w:i w:val="1"/>
                <w:iCs w:val="1"/>
                <w:sz w:val="24"/>
                <w:szCs w:val="24"/>
                <w:rtl w:val="0"/>
              </w:rPr>
              <w:t xml:space="preserve">where multiple relationships have been identified above, please address the below rows in the table for in respect of each relationship identified] </w:t>
            </w:r>
          </w:p>
          <w:p w:rsidR="00000000" w:rsidDel="00000000" w:rsidP="00000000" w:rsidRDefault="00000000" w:rsidRPr="00000000" w14:paraId="00000096">
            <w:pPr>
              <w:rPr>
                <w:rFonts w:ascii="Arial" w:cs="Arial" w:eastAsia="Arial" w:hAnsi="Arial"/>
                <w:sz w:val="24"/>
                <w:szCs w:val="24"/>
              </w:rPr>
            </w:pPr>
            <w:r w:rsidDel="00000000" w:rsidR="00000000" w:rsidRPr="00000000">
              <w:rPr>
                <w:rtl w:val="0"/>
              </w:rPr>
            </w:r>
          </w:p>
        </w:tc>
      </w:tr>
      <w:tr>
        <w:trPr>
          <w:cantSplit w:val="0"/>
          <w:trHeight w:val="1460" w:hRule="atLeast"/>
          <w:tblHeader w:val="0"/>
        </w:trPr>
        <w:tc>
          <w:tcPr>
            <w:shd w:fill="auto" w:val="clear"/>
          </w:tcPr>
          <w:p w:rsidR="00000000" w:rsidDel="00000000" w:rsidP="00000000" w:rsidRDefault="00000000" w:rsidRPr="00000000" w14:paraId="00000097">
            <w:pPr>
              <w:rPr>
                <w:rFonts w:ascii="Arial" w:cs="Arial" w:eastAsia="Arial" w:hAnsi="Arial"/>
                <w:sz w:val="24"/>
                <w:szCs w:val="24"/>
              </w:rPr>
            </w:pPr>
            <w:r w:rsidDel="00000000" w:rsidR="00000000" w:rsidRPr="00000000">
              <w:rPr>
                <w:rFonts w:ascii="Arial" w:cs="Arial" w:eastAsia="Arial" w:hAnsi="Arial"/>
                <w:sz w:val="24"/>
                <w:szCs w:val="24"/>
                <w:rtl w:val="0"/>
              </w:rPr>
              <w:t xml:space="preserve">Duration of the Processing</w:t>
            </w:r>
          </w:p>
        </w:tc>
        <w:tc>
          <w:tcPr>
            <w:shd w:fill="auto" w:val="clear"/>
          </w:tcPr>
          <w:p w:rsidR="00000000" w:rsidDel="00000000" w:rsidP="00000000" w:rsidRDefault="00000000" w:rsidRPr="00000000" w14:paraId="00000098">
            <w:pPr>
              <w:spacing w:after="200" w:line="276" w:lineRule="auto"/>
              <w:rPr>
                <w:rFonts w:ascii="Arial" w:cs="Arial" w:eastAsia="Arial" w:hAnsi="Arial"/>
                <w:sz w:val="24"/>
                <w:szCs w:val="24"/>
              </w:rPr>
            </w:pPr>
            <w:r w:rsidDel="00000000" w:rsidR="00000000" w:rsidRPr="00000000">
              <w:rPr>
                <w:rtl w:val="0"/>
              </w:rPr>
            </w:r>
          </w:p>
        </w:tc>
      </w:tr>
      <w:tr>
        <w:trPr>
          <w:cantSplit w:val="0"/>
          <w:trHeight w:val="1520" w:hRule="atLeast"/>
          <w:tblHeader w:val="0"/>
        </w:trPr>
        <w:tc>
          <w:tcPr>
            <w:shd w:fill="auto" w:val="clear"/>
          </w:tcPr>
          <w:p w:rsidR="00000000" w:rsidDel="00000000" w:rsidP="00000000" w:rsidRDefault="00000000" w:rsidRPr="00000000" w14:paraId="00000099">
            <w:pPr>
              <w:rPr>
                <w:rFonts w:ascii="Arial" w:cs="Arial" w:eastAsia="Arial" w:hAnsi="Arial"/>
                <w:sz w:val="24"/>
                <w:szCs w:val="24"/>
              </w:rPr>
            </w:pPr>
            <w:r w:rsidDel="00000000" w:rsidR="00000000" w:rsidRPr="00000000">
              <w:rPr>
                <w:rFonts w:ascii="Arial" w:cs="Arial" w:eastAsia="Arial" w:hAnsi="Arial"/>
                <w:sz w:val="24"/>
                <w:szCs w:val="24"/>
                <w:rtl w:val="0"/>
              </w:rPr>
              <w:t xml:space="preserve">Nature and purposes of the Processing</w:t>
            </w:r>
          </w:p>
        </w:tc>
        <w:tc>
          <w:tcPr>
            <w:shd w:fill="auto" w:val="clear"/>
          </w:tcPr>
          <w:p w:rsidR="00000000" w:rsidDel="00000000" w:rsidP="00000000" w:rsidRDefault="00000000" w:rsidRPr="00000000" w14:paraId="0000009A">
            <w:pPr>
              <w:rPr>
                <w:rFonts w:ascii="Arial" w:cs="Arial" w:eastAsia="Arial" w:hAnsi="Arial"/>
                <w:sz w:val="24"/>
                <w:szCs w:val="24"/>
              </w:rPr>
            </w:pPr>
            <w:r w:rsidDel="00000000" w:rsidR="00000000" w:rsidRPr="00000000">
              <w:rPr>
                <w:rtl w:val="0"/>
              </w:rPr>
            </w:r>
          </w:p>
        </w:tc>
      </w:tr>
      <w:tr>
        <w:trPr>
          <w:cantSplit w:val="0"/>
          <w:trHeight w:val="1400" w:hRule="atLeast"/>
          <w:tblHeader w:val="0"/>
        </w:trPr>
        <w:tc>
          <w:tcPr>
            <w:shd w:fill="auto" w:val="clear"/>
          </w:tcPr>
          <w:p w:rsidR="00000000" w:rsidDel="00000000" w:rsidP="00000000" w:rsidRDefault="00000000" w:rsidRPr="00000000" w14:paraId="0000009B">
            <w:pPr>
              <w:rPr>
                <w:rFonts w:ascii="Arial" w:cs="Arial" w:eastAsia="Arial" w:hAnsi="Arial"/>
                <w:sz w:val="24"/>
                <w:szCs w:val="24"/>
              </w:rPr>
            </w:pPr>
            <w:r w:rsidDel="00000000" w:rsidR="00000000" w:rsidRPr="00000000">
              <w:rPr>
                <w:rFonts w:ascii="Arial" w:cs="Arial" w:eastAsia="Arial" w:hAnsi="Arial"/>
                <w:sz w:val="24"/>
                <w:szCs w:val="24"/>
                <w:rtl w:val="0"/>
              </w:rPr>
              <w:t xml:space="preserve">Type of Personal Data</w:t>
            </w:r>
          </w:p>
        </w:tc>
        <w:tc>
          <w:tcPr>
            <w:shd w:fill="auto" w:val="clear"/>
          </w:tcPr>
          <w:p w:rsidR="00000000" w:rsidDel="00000000" w:rsidP="00000000" w:rsidRDefault="00000000" w:rsidRPr="00000000" w14:paraId="0000009C">
            <w:pPr>
              <w:spacing w:after="200" w:line="276" w:lineRule="auto"/>
              <w:rPr>
                <w:rFonts w:ascii="Arial" w:cs="Arial" w:eastAsia="Arial" w:hAnsi="Arial"/>
                <w:i w:val="1"/>
                <w:iCs w:val="1"/>
                <w:sz w:val="24"/>
                <w:szCs w:val="24"/>
              </w:rPr>
            </w:pPr>
            <w:r w:rsidDel="00000000" w:rsidR="00000000" w:rsidRPr="00000000">
              <w:rPr>
                <w:rtl w:val="0"/>
              </w:rPr>
            </w:r>
          </w:p>
        </w:tc>
      </w:tr>
      <w:tr>
        <w:trPr>
          <w:cantSplit w:val="0"/>
          <w:trHeight w:val="1560" w:hRule="atLeast"/>
          <w:tblHeader w:val="0"/>
        </w:trPr>
        <w:tc>
          <w:tcPr>
            <w:shd w:fill="auto" w:val="clear"/>
          </w:tcPr>
          <w:p w:rsidR="00000000" w:rsidDel="00000000" w:rsidP="00000000" w:rsidRDefault="00000000" w:rsidRPr="00000000" w14:paraId="0000009D">
            <w:pPr>
              <w:rPr>
                <w:rFonts w:ascii="Arial" w:cs="Arial" w:eastAsia="Arial" w:hAnsi="Arial"/>
                <w:sz w:val="24"/>
                <w:szCs w:val="24"/>
              </w:rPr>
            </w:pPr>
            <w:r w:rsidDel="00000000" w:rsidR="00000000" w:rsidRPr="00000000">
              <w:rPr>
                <w:rFonts w:ascii="Arial" w:cs="Arial" w:eastAsia="Arial" w:hAnsi="Arial"/>
                <w:sz w:val="24"/>
                <w:szCs w:val="24"/>
                <w:rtl w:val="0"/>
              </w:rPr>
              <w:t xml:space="preserve">Categories of Data Subject</w:t>
            </w:r>
          </w:p>
        </w:tc>
        <w:tc>
          <w:tcPr>
            <w:shd w:fill="auto" w:val="clear"/>
          </w:tcPr>
          <w:p w:rsidR="00000000" w:rsidDel="00000000" w:rsidP="00000000" w:rsidRDefault="00000000" w:rsidRPr="00000000" w14:paraId="0000009E">
            <w:pPr>
              <w:spacing w:after="200"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Personal Data will include: </w:t>
            </w:r>
          </w:p>
          <w:p w:rsidR="00000000" w:rsidDel="00000000" w:rsidP="00000000" w:rsidRDefault="00000000" w:rsidRPr="00000000" w14:paraId="0000009F">
            <w:pPr>
              <w:spacing w:after="200" w:line="276" w:lineRule="auto"/>
              <w:rPr>
                <w:rFonts w:ascii="Arial" w:cs="Arial" w:eastAsia="Arial" w:hAnsi="Arial"/>
                <w:i w:val="1"/>
                <w:iCs w:val="1"/>
                <w:sz w:val="24"/>
                <w:szCs w:val="24"/>
              </w:rPr>
            </w:pPr>
            <w:r w:rsidDel="00000000" w:rsidR="00000000" w:rsidRPr="00000000">
              <w:rPr>
                <w:rtl w:val="0"/>
              </w:rPr>
            </w:r>
          </w:p>
        </w:tc>
      </w:tr>
      <w:tr>
        <w:trPr>
          <w:cantSplit w:val="0"/>
          <w:trHeight w:val="1560" w:hRule="atLeast"/>
          <w:tblHeader w:val="0"/>
        </w:trPr>
        <w:tc>
          <w:tcPr>
            <w:shd w:fill="auto" w:val="clear"/>
          </w:tcPr>
          <w:p w:rsidR="00000000" w:rsidDel="00000000" w:rsidP="00000000" w:rsidRDefault="00000000" w:rsidRPr="00000000" w14:paraId="000000A0">
            <w:pPr>
              <w:rPr>
                <w:rFonts w:ascii="Arial" w:cs="Arial" w:eastAsia="Arial" w:hAnsi="Arial"/>
                <w:sz w:val="24"/>
                <w:szCs w:val="24"/>
              </w:rPr>
            </w:pPr>
            <w:r w:rsidDel="00000000" w:rsidR="00000000" w:rsidRPr="00000000">
              <w:rPr>
                <w:rFonts w:ascii="Arial" w:cs="Arial" w:eastAsia="Arial" w:hAnsi="Arial"/>
                <w:sz w:val="24"/>
                <w:szCs w:val="24"/>
                <w:rtl w:val="0"/>
              </w:rPr>
              <w:t xml:space="preserve">International transfers and legal gateway</w:t>
            </w:r>
          </w:p>
        </w:tc>
        <w:tc>
          <w:tcPr>
            <w:shd w:fill="auto" w:val="clear"/>
          </w:tcPr>
          <w:p w:rsidR="00000000" w:rsidDel="00000000" w:rsidP="00000000" w:rsidRDefault="00000000" w:rsidRPr="00000000" w14:paraId="000000A1">
            <w:pPr>
              <w:rPr>
                <w:rFonts w:ascii="Arial" w:cs="Arial" w:eastAsia="Arial" w:hAnsi="Arial"/>
                <w:i w:val="1"/>
                <w:iCs w:val="1"/>
                <w:sz w:val="24"/>
                <w:szCs w:val="24"/>
              </w:rPr>
            </w:pPr>
            <w:r w:rsidDel="00000000" w:rsidR="00000000" w:rsidRPr="00000000">
              <w:rPr>
                <w:rFonts w:ascii="Arial" w:cs="Arial" w:eastAsia="Arial" w:hAnsi="Arial"/>
                <w:i w:val="1"/>
                <w:iCs w:val="1"/>
                <w:sz w:val="24"/>
                <w:szCs w:val="24"/>
                <w:rtl w:val="0"/>
              </w:rPr>
              <w:t xml:space="preserve">As per PPN 03/22, Article 44 of UK GDPR prohibits the off-shoring of personal data outside the UK unless a legal gateway is in place. </w:t>
            </w:r>
          </w:p>
          <w:p w:rsidR="00000000" w:rsidDel="00000000" w:rsidP="00000000" w:rsidRDefault="00000000" w:rsidRPr="00000000" w14:paraId="000000A2">
            <w:pPr>
              <w:rPr>
                <w:rFonts w:ascii="Arial" w:cs="Arial" w:eastAsia="Arial" w:hAnsi="Arial"/>
                <w:i w:val="1"/>
                <w:iCs w:val="1"/>
                <w:sz w:val="24"/>
                <w:szCs w:val="24"/>
              </w:rPr>
            </w:pPr>
            <w:r w:rsidDel="00000000" w:rsidR="00000000" w:rsidRPr="00000000">
              <w:rPr>
                <w:rtl w:val="0"/>
              </w:rPr>
            </w:r>
          </w:p>
          <w:p w:rsidR="00000000" w:rsidDel="00000000" w:rsidP="00000000" w:rsidRDefault="00000000" w:rsidRPr="00000000" w14:paraId="000000A3">
            <w:pPr>
              <w:rPr>
                <w:rFonts w:ascii="Arial" w:cs="Arial" w:eastAsia="Arial" w:hAnsi="Arial"/>
                <w:b w:val="1"/>
                <w:bCs w:val="1"/>
                <w:i w:val="1"/>
                <w:iCs w:val="1"/>
                <w:sz w:val="24"/>
                <w:szCs w:val="24"/>
              </w:rPr>
            </w:pPr>
            <w:r w:rsidDel="00000000" w:rsidR="00000000" w:rsidRPr="00000000">
              <w:rPr>
                <w:rFonts w:ascii="Arial" w:cs="Arial" w:eastAsia="Arial" w:hAnsi="Arial"/>
                <w:b w:val="1"/>
                <w:bCs w:val="1"/>
                <w:i w:val="1"/>
                <w:iCs w:val="1"/>
                <w:sz w:val="24"/>
                <w:szCs w:val="24"/>
                <w:rtl w:val="0"/>
              </w:rPr>
              <w:t xml:space="preserve">Valid legal gateways include: </w:t>
            </w:r>
          </w:p>
          <w:p w:rsidR="00000000" w:rsidDel="00000000" w:rsidP="00000000" w:rsidRDefault="00000000" w:rsidRPr="00000000" w14:paraId="000000A4">
            <w:pPr>
              <w:rPr>
                <w:rFonts w:ascii="Arial" w:cs="Arial" w:eastAsia="Arial" w:hAnsi="Arial"/>
                <w:i w:val="1"/>
                <w:iCs w:val="1"/>
                <w:sz w:val="24"/>
                <w:szCs w:val="24"/>
              </w:rPr>
            </w:pPr>
            <w:r w:rsidDel="00000000" w:rsidR="00000000" w:rsidRPr="00000000">
              <w:rPr>
                <w:rFonts w:ascii="Arial" w:cs="Arial" w:eastAsia="Arial" w:hAnsi="Arial"/>
                <w:i w:val="1"/>
                <w:iCs w:val="1"/>
                <w:sz w:val="24"/>
                <w:szCs w:val="24"/>
                <w:rtl w:val="0"/>
              </w:rPr>
              <w:t xml:space="preserve">● an adequacy decision by the UK Government in respect of the destination country </w:t>
            </w:r>
          </w:p>
          <w:p w:rsidR="00000000" w:rsidDel="00000000" w:rsidP="00000000" w:rsidRDefault="00000000" w:rsidRPr="00000000" w14:paraId="000000A5">
            <w:pPr>
              <w:rPr>
                <w:rFonts w:ascii="Arial" w:cs="Arial" w:eastAsia="Arial" w:hAnsi="Arial"/>
                <w:i w:val="1"/>
                <w:iCs w:val="1"/>
                <w:sz w:val="24"/>
                <w:szCs w:val="24"/>
              </w:rPr>
            </w:pPr>
            <w:r w:rsidDel="00000000" w:rsidR="00000000" w:rsidRPr="00000000">
              <w:rPr>
                <w:rFonts w:ascii="Arial" w:cs="Arial" w:eastAsia="Arial" w:hAnsi="Arial"/>
                <w:i w:val="1"/>
                <w:iCs w:val="1"/>
                <w:sz w:val="24"/>
                <w:szCs w:val="24"/>
                <w:rtl w:val="0"/>
              </w:rPr>
              <w:t xml:space="preserve">● EU Standard Contractual Clauses (until 21 March 2024 if the contract was concluded on or before 21 September 2022) or the UK International Data Transfer Agreement (IDTA)3 between the data exporter and importer organisations </w:t>
            </w:r>
          </w:p>
          <w:p w:rsidR="00000000" w:rsidDel="00000000" w:rsidP="00000000" w:rsidRDefault="00000000" w:rsidRPr="00000000" w14:paraId="000000A6">
            <w:pPr>
              <w:rPr>
                <w:rFonts w:ascii="Arial" w:cs="Arial" w:eastAsia="Arial" w:hAnsi="Arial"/>
                <w:i w:val="1"/>
                <w:iCs w:val="1"/>
                <w:sz w:val="24"/>
                <w:szCs w:val="24"/>
              </w:rPr>
            </w:pPr>
            <w:r w:rsidDel="00000000" w:rsidR="00000000" w:rsidRPr="00000000">
              <w:rPr>
                <w:rFonts w:ascii="Arial" w:cs="Arial" w:eastAsia="Arial" w:hAnsi="Arial"/>
                <w:i w:val="1"/>
                <w:iCs w:val="1"/>
                <w:sz w:val="24"/>
                <w:szCs w:val="24"/>
                <w:rtl w:val="0"/>
              </w:rPr>
              <w:t xml:space="preserve">● binding corporate rules where data is exported from one part of a group of companies to another member of that group and the rules have been approved by the Information Commissioner </w:t>
            </w:r>
          </w:p>
          <w:p w:rsidR="00000000" w:rsidDel="00000000" w:rsidP="00000000" w:rsidRDefault="00000000" w:rsidRPr="00000000" w14:paraId="000000A7">
            <w:pPr>
              <w:rPr>
                <w:rFonts w:ascii="Arial" w:cs="Arial" w:eastAsia="Arial" w:hAnsi="Arial"/>
                <w:i w:val="1"/>
                <w:iCs w:val="1"/>
                <w:sz w:val="24"/>
                <w:szCs w:val="24"/>
              </w:rPr>
            </w:pPr>
            <w:r w:rsidDel="00000000" w:rsidR="00000000" w:rsidRPr="00000000">
              <w:rPr>
                <w:rFonts w:ascii="Arial" w:cs="Arial" w:eastAsia="Arial" w:hAnsi="Arial"/>
                <w:i w:val="1"/>
                <w:iCs w:val="1"/>
                <w:sz w:val="24"/>
                <w:szCs w:val="24"/>
                <w:rtl w:val="0"/>
              </w:rPr>
              <w:t xml:space="preserve">● transfers pursuant to a Code of Conduct approved by the Information Commissioner (none currently exist) </w:t>
            </w:r>
          </w:p>
        </w:tc>
      </w:tr>
      <w:tr>
        <w:trPr>
          <w:cantSplit w:val="0"/>
          <w:trHeight w:val="1660" w:hRule="atLeast"/>
          <w:tblHeader w:val="0"/>
        </w:trPr>
        <w:tc>
          <w:tcPr>
            <w:shd w:fill="auto" w:val="clear"/>
          </w:tcPr>
          <w:p w:rsidR="00000000" w:rsidDel="00000000" w:rsidP="00000000" w:rsidRDefault="00000000" w:rsidRPr="00000000" w14:paraId="000000A8">
            <w:pPr>
              <w:rPr>
                <w:rFonts w:ascii="Arial" w:cs="Arial" w:eastAsia="Arial" w:hAnsi="Arial"/>
                <w:sz w:val="24"/>
                <w:szCs w:val="24"/>
              </w:rPr>
            </w:pPr>
            <w:r w:rsidDel="00000000" w:rsidR="00000000" w:rsidRPr="00000000">
              <w:rPr>
                <w:rFonts w:ascii="Arial" w:cs="Arial" w:eastAsia="Arial" w:hAnsi="Arial"/>
                <w:sz w:val="24"/>
                <w:szCs w:val="24"/>
                <w:rtl w:val="0"/>
              </w:rPr>
              <w:t xml:space="preserve">Plan for return and destruction of the data once the Processing is complete</w:t>
            </w:r>
          </w:p>
          <w:p w:rsidR="00000000" w:rsidDel="00000000" w:rsidP="00000000" w:rsidRDefault="00000000" w:rsidRPr="00000000" w14:paraId="000000A9">
            <w:pPr>
              <w:rPr>
                <w:rFonts w:ascii="Arial" w:cs="Arial" w:eastAsia="Arial" w:hAnsi="Arial"/>
                <w:sz w:val="24"/>
                <w:szCs w:val="24"/>
              </w:rPr>
            </w:pPr>
            <w:r w:rsidDel="00000000" w:rsidR="00000000" w:rsidRPr="00000000">
              <w:rPr>
                <w:rFonts w:ascii="Arial" w:cs="Arial" w:eastAsia="Arial" w:hAnsi="Arial"/>
                <w:sz w:val="24"/>
                <w:szCs w:val="24"/>
                <w:rtl w:val="0"/>
              </w:rPr>
              <w:t xml:space="preserve">UNLESS requirement under Union or Member State law to preserve that type of data</w:t>
            </w:r>
          </w:p>
        </w:tc>
        <w:tc>
          <w:tcPr>
            <w:shd w:fill="auto" w:val="clear"/>
          </w:tcPr>
          <w:p w:rsidR="00000000" w:rsidDel="00000000" w:rsidP="00000000" w:rsidRDefault="00000000" w:rsidRPr="00000000" w14:paraId="000000AA">
            <w:pPr>
              <w:spacing w:after="200"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retain and store securely any data in relation to a Call Off Contract for a minimum of 7 years after the expiry of the agreement. Once this period has ended the Supplier must destroy any data stored in line with 10.5 of the Core Terms. </w:t>
            </w:r>
          </w:p>
        </w:tc>
      </w:tr>
    </w:tbl>
    <w:p w:rsidR="00000000" w:rsidDel="00000000" w:rsidP="00000000" w:rsidRDefault="00000000" w:rsidRPr="00000000" w14:paraId="000000AB">
      <w:pPr>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0AC">
      <w:pPr>
        <w:rPr>
          <w:rFonts w:ascii="Arial" w:cs="Arial" w:eastAsia="Arial" w:hAnsi="Arial"/>
          <w:b w:val="1"/>
          <w:bCs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AD">
      <w:pPr>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Annex 2 - Joint Controller Agreement</w:t>
      </w:r>
      <w:r w:rsidDel="00000000" w:rsidR="00000000" w:rsidRPr="00000000">
        <w:rPr>
          <w:rtl w:val="0"/>
        </w:rPr>
      </w:r>
    </w:p>
    <w:p w:rsidR="00000000" w:rsidDel="00000000" w:rsidP="00000000" w:rsidRDefault="00000000" w:rsidRPr="00000000" w14:paraId="000000AE">
      <w:pPr>
        <w:keepNext w:val="1"/>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1. Joint Controller Status and Allocation of Responsibilities </w:t>
      </w:r>
    </w:p>
    <w:p w:rsidR="00000000" w:rsidDel="00000000" w:rsidP="00000000" w:rsidRDefault="00000000" w:rsidRPr="00000000" w14:paraId="000000AF">
      <w:pPr>
        <w:keepNext w:val="1"/>
        <w:rPr>
          <w:rFonts w:ascii="Arial" w:cs="Arial" w:eastAsia="Arial" w:hAnsi="Arial"/>
          <w:sz w:val="24"/>
          <w:szCs w:val="24"/>
        </w:rPr>
      </w:pPr>
      <w:bookmarkStart w:colFirst="0" w:colLast="0" w:name="_gjdgxs" w:id="16"/>
      <w:bookmarkEnd w:id="16"/>
      <w:r w:rsidDel="00000000" w:rsidR="00000000" w:rsidRPr="00000000">
        <w:rPr>
          <w:rFonts w:ascii="Arial" w:cs="Arial" w:eastAsia="Arial" w:hAnsi="Arial"/>
          <w:sz w:val="24"/>
          <w:szCs w:val="24"/>
          <w:rtl w:val="0"/>
        </w:rPr>
        <w:t xml:space="preserve">1.1</w:t>
        <w:tab/>
        <w:t xml:space="preserve">With respect to Personal Data under Joint Control of the Parties, the Parties envisage that they shall each be a Data Controller in respect of that Personal Data in accordance with the terms of this Annex 2 (Joint Controller Agreement) in replacement of paragraphs 3-16 of Joint Schedule 11 (Where one Party is Controller and the other Party is Processor) and paragraphs 18-28 of Joint Schedule 11 (Independent Controllers of Personal Data). Accordingly, the Parties each undertake to comply with the applicable Data Protection Legislation in respect of their Processing of such Personal Data as Data Controllers. </w:t>
      </w:r>
    </w:p>
    <w:p w:rsidR="00000000" w:rsidDel="00000000" w:rsidP="00000000" w:rsidRDefault="00000000" w:rsidRPr="00000000" w14:paraId="000000B0">
      <w:pPr>
        <w:keepNext w:val="1"/>
        <w:rPr>
          <w:rFonts w:ascii="Arial" w:cs="Arial" w:eastAsia="Arial" w:hAnsi="Arial"/>
          <w:sz w:val="24"/>
          <w:szCs w:val="24"/>
        </w:rPr>
      </w:pPr>
      <w:r w:rsidDel="00000000" w:rsidR="00000000" w:rsidRPr="00000000">
        <w:rPr>
          <w:rFonts w:ascii="Arial" w:cs="Arial" w:eastAsia="Arial" w:hAnsi="Arial"/>
          <w:sz w:val="24"/>
          <w:szCs w:val="24"/>
          <w:highlight w:val="white"/>
          <w:rtl w:val="0"/>
        </w:rPr>
        <w:t xml:space="preserve">1.2 The Parties agree that the </w:t>
      </w:r>
      <w:r w:rsidDel="00000000" w:rsidR="00000000" w:rsidRPr="00000000">
        <w:rPr>
          <w:rFonts w:ascii="Arial" w:cs="Arial" w:eastAsia="Arial" w:hAnsi="Arial"/>
          <w:sz w:val="24"/>
          <w:szCs w:val="24"/>
          <w:highlight w:val="yellow"/>
          <w:rtl w:val="0"/>
        </w:rPr>
        <w:t xml:space="preserve">[Supplier/Relevant Authority]: </w:t>
      </w:r>
      <w:r w:rsidDel="00000000" w:rsidR="00000000" w:rsidRPr="00000000">
        <w:rPr>
          <w:rtl w:val="0"/>
        </w:rPr>
      </w:r>
    </w:p>
    <w:p w:rsidR="00000000" w:rsidDel="00000000" w:rsidP="00000000" w:rsidRDefault="00000000" w:rsidRPr="00000000" w14:paraId="000000B1">
      <w:pPr>
        <w:numPr>
          <w:ilvl w:val="2"/>
          <w:numId w:val="5"/>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is the </w:t>
      </w:r>
      <w:r w:rsidDel="00000000" w:rsidR="00000000" w:rsidRPr="00000000">
        <w:rPr>
          <w:rFonts w:ascii="Arial" w:cs="Arial" w:eastAsia="Arial" w:hAnsi="Arial"/>
          <w:sz w:val="24"/>
          <w:szCs w:val="24"/>
          <w:rtl w:val="0"/>
        </w:rPr>
        <w:t xml:space="preserve">exclusive</w:t>
      </w:r>
      <w:r w:rsidDel="00000000" w:rsidR="00000000" w:rsidRPr="00000000">
        <w:rPr>
          <w:rFonts w:ascii="Arial" w:cs="Arial" w:eastAsia="Arial" w:hAnsi="Arial"/>
          <w:sz w:val="24"/>
          <w:szCs w:val="24"/>
          <w:highlight w:val="white"/>
          <w:rtl w:val="0"/>
        </w:rPr>
        <w:t xml:space="preserve"> point of contact for Data Subjects and is responsible for using all reasonable endeavours  to comply with the UK GDPR regarding the exercise by Data Subjects of their rights under the UK GDPR;</w:t>
      </w:r>
    </w:p>
    <w:p w:rsidR="00000000" w:rsidDel="00000000" w:rsidP="00000000" w:rsidRDefault="00000000" w:rsidRPr="00000000" w14:paraId="000000B2">
      <w:pPr>
        <w:numPr>
          <w:ilvl w:val="2"/>
          <w:numId w:val="5"/>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shall direct Data Subjects to its Data Protection Officer or suitable alternative in connection with the exercise of their rights as Data Subjects and for any enquiries concerning their Personal Data or privacy;</w:t>
      </w:r>
    </w:p>
    <w:p w:rsidR="00000000" w:rsidDel="00000000" w:rsidP="00000000" w:rsidRDefault="00000000" w:rsidRPr="00000000" w14:paraId="000000B3">
      <w:pPr>
        <w:numPr>
          <w:ilvl w:val="2"/>
          <w:numId w:val="5"/>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is solely responsible for the Parties’ compliance with all duties to provide information to Data Subjects under Articles 13 and 14 of the UK GDPR;</w:t>
      </w:r>
    </w:p>
    <w:p w:rsidR="00000000" w:rsidDel="00000000" w:rsidP="00000000" w:rsidRDefault="00000000" w:rsidRPr="00000000" w14:paraId="000000B4">
      <w:pPr>
        <w:numPr>
          <w:ilvl w:val="2"/>
          <w:numId w:val="5"/>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is responsible for obtaining the informed consent of Data Subjects, in accordance with the UK GDPR, for Processing in connection with the Deliverables where consent is the relevant legal basis for that Processing; and</w:t>
      </w:r>
    </w:p>
    <w:p w:rsidR="00000000" w:rsidDel="00000000" w:rsidP="00000000" w:rsidRDefault="00000000" w:rsidRPr="00000000" w14:paraId="000000B5">
      <w:pPr>
        <w:numPr>
          <w:ilvl w:val="2"/>
          <w:numId w:val="5"/>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shall make available to Data Subjects the essence of this Annex (and notify them of any changes to it) concerning the allocation of responsibilities as Joint Controller and its role as exclusive point of contact, the Parties having used their best endeavours to agree the terms of that essence. This must be outlined in the </w:t>
      </w:r>
      <w:r w:rsidDel="00000000" w:rsidR="00000000" w:rsidRPr="00000000">
        <w:rPr>
          <w:rFonts w:ascii="Arial" w:cs="Arial" w:eastAsia="Arial" w:hAnsi="Arial"/>
          <w:sz w:val="24"/>
          <w:szCs w:val="24"/>
          <w:highlight w:val="yellow"/>
          <w:rtl w:val="0"/>
        </w:rPr>
        <w:t xml:space="preserve">[Supplier’s/Relevant Authority’s]</w:t>
      </w:r>
      <w:r w:rsidDel="00000000" w:rsidR="00000000" w:rsidRPr="00000000">
        <w:rPr>
          <w:rFonts w:ascii="Arial" w:cs="Arial" w:eastAsia="Arial" w:hAnsi="Arial"/>
          <w:sz w:val="24"/>
          <w:szCs w:val="24"/>
          <w:rtl w:val="0"/>
        </w:rPr>
        <w:t xml:space="preserve"> privacy policy (which must be readily available by hyperlink or otherwise on all of its public facing services and marketing).</w:t>
      </w:r>
    </w:p>
    <w:p w:rsidR="00000000" w:rsidDel="00000000" w:rsidP="00000000" w:rsidRDefault="00000000" w:rsidRPr="00000000" w14:paraId="000000B6">
      <w:pPr>
        <w:rPr>
          <w:rFonts w:ascii="Arial" w:cs="Arial" w:eastAsia="Arial" w:hAnsi="Arial"/>
          <w:sz w:val="24"/>
          <w:szCs w:val="24"/>
        </w:rPr>
      </w:pPr>
      <w:r w:rsidDel="00000000" w:rsidR="00000000" w:rsidRPr="00000000">
        <w:rPr>
          <w:rFonts w:ascii="Arial" w:cs="Arial" w:eastAsia="Arial" w:hAnsi="Arial"/>
          <w:sz w:val="24"/>
          <w:szCs w:val="24"/>
          <w:rtl w:val="0"/>
        </w:rPr>
        <w:t xml:space="preserve">1.3 Notwithstanding the terms of clause 1.2, the Parties acknowledge that a Data Subject has the right to exercise their legal rights under the Data Protection Legislation as against the relevant Party as Controller.</w:t>
      </w:r>
    </w:p>
    <w:p w:rsidR="00000000" w:rsidDel="00000000" w:rsidP="00000000" w:rsidRDefault="00000000" w:rsidRPr="00000000" w14:paraId="000000B7">
      <w:pPr>
        <w:numPr>
          <w:ilvl w:val="2"/>
          <w:numId w:val="10"/>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Undertakings of both Parties</w:t>
      </w:r>
    </w:p>
    <w:p w:rsidR="00000000" w:rsidDel="00000000" w:rsidP="00000000" w:rsidRDefault="00000000" w:rsidRPr="00000000" w14:paraId="000000B8">
      <w:pPr>
        <w:numPr>
          <w:ilvl w:val="3"/>
          <w:numId w:val="10"/>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and the Relevant Authority each undertake that they shall: </w:t>
      </w:r>
    </w:p>
    <w:p w:rsidR="00000000" w:rsidDel="00000000" w:rsidP="00000000" w:rsidRDefault="00000000" w:rsidRPr="00000000" w14:paraId="000000B9">
      <w:pPr>
        <w:numPr>
          <w:ilvl w:val="2"/>
          <w:numId w:val="1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report to the other Party every </w:t>
      </w:r>
      <w:r w:rsidDel="00000000" w:rsidR="00000000" w:rsidRPr="00000000">
        <w:rPr>
          <w:rFonts w:ascii="Arial" w:cs="Arial" w:eastAsia="Arial" w:hAnsi="Arial"/>
          <w:sz w:val="24"/>
          <w:szCs w:val="24"/>
          <w:highlight w:val="yellow"/>
          <w:rtl w:val="0"/>
        </w:rPr>
        <w:t xml:space="preserve">[x]</w:t>
      </w:r>
      <w:r w:rsidDel="00000000" w:rsidR="00000000" w:rsidRPr="00000000">
        <w:rPr>
          <w:rFonts w:ascii="Arial" w:cs="Arial" w:eastAsia="Arial" w:hAnsi="Arial"/>
          <w:sz w:val="24"/>
          <w:szCs w:val="24"/>
          <w:rtl w:val="0"/>
        </w:rPr>
        <w:t xml:space="preserve"> months on:</w:t>
      </w:r>
    </w:p>
    <w:p w:rsidR="00000000" w:rsidDel="00000000" w:rsidP="00000000" w:rsidRDefault="00000000" w:rsidRPr="00000000" w14:paraId="000000BA">
      <w:pPr>
        <w:numPr>
          <w:ilvl w:val="3"/>
          <w:numId w:val="12"/>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the volume of Data Subject Access Request (or purported Data Subject  Access Requests) from Data Subjects (or third parties on their behalf);</w:t>
      </w:r>
    </w:p>
    <w:p w:rsidR="00000000" w:rsidDel="00000000" w:rsidP="00000000" w:rsidRDefault="00000000" w:rsidRPr="00000000" w14:paraId="000000BB">
      <w:pPr>
        <w:numPr>
          <w:ilvl w:val="3"/>
          <w:numId w:val="12"/>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the volume of requests from Data Subjects (or third parties on their behalf) to rectify, block or erase any Personal Data; </w:t>
      </w:r>
    </w:p>
    <w:p w:rsidR="00000000" w:rsidDel="00000000" w:rsidP="00000000" w:rsidRDefault="00000000" w:rsidRPr="00000000" w14:paraId="000000BC">
      <w:pPr>
        <w:numPr>
          <w:ilvl w:val="3"/>
          <w:numId w:val="12"/>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other requests, complaints or communications from Data Subjects (or third parties on their behalf) relating to the other Party’s obligations under applicable Data Protection Legislation;</w:t>
      </w:r>
    </w:p>
    <w:p w:rsidR="00000000" w:rsidDel="00000000" w:rsidP="00000000" w:rsidRDefault="00000000" w:rsidRPr="00000000" w14:paraId="000000BD">
      <w:pPr>
        <w:numPr>
          <w:ilvl w:val="3"/>
          <w:numId w:val="12"/>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communications from the Information Commissioner or any other regulatory authority in connection with Personal Data; and</w:t>
      </w:r>
    </w:p>
    <w:p w:rsidR="00000000" w:rsidDel="00000000" w:rsidP="00000000" w:rsidRDefault="00000000" w:rsidRPr="00000000" w14:paraId="000000BE">
      <w:pPr>
        <w:numPr>
          <w:ilvl w:val="3"/>
          <w:numId w:val="12"/>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requests from any third party for disclosure of Personal Data where compliance with such request is required or purported to be required by Law,</w:t>
      </w:r>
    </w:p>
    <w:p w:rsidR="00000000" w:rsidDel="00000000" w:rsidP="00000000" w:rsidRDefault="00000000" w:rsidRPr="00000000" w14:paraId="000000BF">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that it has received in relation to the subject matter of the Contract during that period; </w:t>
      </w:r>
    </w:p>
    <w:p w:rsidR="00000000" w:rsidDel="00000000" w:rsidP="00000000" w:rsidRDefault="00000000" w:rsidRPr="00000000" w14:paraId="000000C0">
      <w:pPr>
        <w:numPr>
          <w:ilvl w:val="2"/>
          <w:numId w:val="1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notify each other immediately if it receives any request, complaint or communication made as referred to in Clauses 2.1(a)(i) to (v); </w:t>
      </w:r>
    </w:p>
    <w:p w:rsidR="00000000" w:rsidDel="00000000" w:rsidP="00000000" w:rsidRDefault="00000000" w:rsidRPr="00000000" w14:paraId="000000C1">
      <w:pPr>
        <w:numPr>
          <w:ilvl w:val="2"/>
          <w:numId w:val="1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the other Party with full cooperation and assistance in relation to any request, complaint or communication made as referred to in Clauses 2.1(a)(iii) to (v) to enable the other Party to comply with the relevant timescales set out in the Data Protection Legislation;</w:t>
      </w:r>
    </w:p>
    <w:p w:rsidR="00000000" w:rsidDel="00000000" w:rsidP="00000000" w:rsidRDefault="00000000" w:rsidRPr="00000000" w14:paraId="000000C2">
      <w:pPr>
        <w:numPr>
          <w:ilvl w:val="2"/>
          <w:numId w:val="12"/>
        </w:numPr>
        <w:pBdr>
          <w:top w:space="0" w:sz="0" w:val="nil"/>
          <w:left w:space="0" w:sz="0" w:val="nil"/>
          <w:bottom w:space="0" w:sz="0" w:val="nil"/>
          <w:right w:space="0" w:sz="0" w:val="nil"/>
          <w:between w:space="0" w:sz="0" w:val="nil"/>
        </w:pBdr>
        <w:tabs>
          <w:tab w:val="left" w:leader="none" w:pos="4395"/>
        </w:tabs>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 disclose or transfer the Personal Data to any third party unless necessary for the provision of the Deliverables and, for any disclosure or transfer of Personal Data to any third party, (save where such disclosure or transfer is specifically authorised under the Contract or is required by Law) that disclosure or transfer of Personal Data is otherwise considered to be lawful processing of that Personal Data in accordance with Article 6 of the UK GDPR or EU GDPR (as the context requires). For the avoidance of doubt, the third party to which Personal Data is transferred must be subject to equivalent obligations which are no less onerous than those set out in this Annex;</w:t>
      </w:r>
    </w:p>
    <w:p w:rsidR="00000000" w:rsidDel="00000000" w:rsidP="00000000" w:rsidRDefault="00000000" w:rsidRPr="00000000" w14:paraId="000000C3">
      <w:pPr>
        <w:numPr>
          <w:ilvl w:val="2"/>
          <w:numId w:val="1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request from the Data Subject only the minimum information necessary to provide the Deliverables and treat such extracted information as Confidential Information;</w:t>
      </w:r>
    </w:p>
    <w:p w:rsidR="00000000" w:rsidDel="00000000" w:rsidP="00000000" w:rsidRDefault="00000000" w:rsidRPr="00000000" w14:paraId="000000C4">
      <w:pPr>
        <w:numPr>
          <w:ilvl w:val="2"/>
          <w:numId w:val="1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at all times it has in place appropriate Protective Measures to guard against unauthorised or unlawful Processing of the Personal Data and/or accidental loss, destruction or damage to the Personal Data and unauthorised or unlawful disclosure of or access to the Personal Data;</w:t>
      </w:r>
    </w:p>
    <w:p w:rsidR="00000000" w:rsidDel="00000000" w:rsidP="00000000" w:rsidRDefault="00000000" w:rsidRPr="00000000" w14:paraId="000000C5">
      <w:pPr>
        <w:numPr>
          <w:ilvl w:val="2"/>
          <w:numId w:val="1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use all reasonable endeavours  to ensure the reliability and integrity of any of its Personnel who have access to the Personal Data and ensure that its Personnel:</w:t>
      </w:r>
    </w:p>
    <w:p w:rsidR="00000000" w:rsidDel="00000000" w:rsidP="00000000" w:rsidRDefault="00000000" w:rsidRPr="00000000" w14:paraId="000000C6">
      <w:pPr>
        <w:numPr>
          <w:ilvl w:val="3"/>
          <w:numId w:val="12"/>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aware of and comply with their duties under this Annex 2 (Joint Controller Agreement) and those in respect of Confidential Information; </w:t>
      </w:r>
    </w:p>
    <w:p w:rsidR="00000000" w:rsidDel="00000000" w:rsidP="00000000" w:rsidRDefault="00000000" w:rsidRPr="00000000" w14:paraId="000000C7">
      <w:pPr>
        <w:numPr>
          <w:ilvl w:val="3"/>
          <w:numId w:val="12"/>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informed of the confidential nature of the Personal Data, are subject to appropriate obligations of confidentiality and do not publish, disclose or divulge any of the Personal Data to any third party where the that Party would not be permitted to do so; and</w:t>
      </w:r>
    </w:p>
    <w:p w:rsidR="00000000" w:rsidDel="00000000" w:rsidP="00000000" w:rsidRDefault="00000000" w:rsidRPr="00000000" w14:paraId="000000C8">
      <w:pPr>
        <w:numPr>
          <w:ilvl w:val="3"/>
          <w:numId w:val="12"/>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have undergone adequate training in the use, care, protection and handling of personal data as required by the applicable Data Protection Legislation;</w:t>
      </w:r>
    </w:p>
    <w:p w:rsidR="00000000" w:rsidDel="00000000" w:rsidP="00000000" w:rsidRDefault="00000000" w:rsidRPr="00000000" w14:paraId="000000C9">
      <w:pPr>
        <w:numPr>
          <w:ilvl w:val="2"/>
          <w:numId w:val="1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has in place Protective Measures as appropriate to protect against a Personal Data Breach having taken account of the:</w:t>
      </w:r>
    </w:p>
    <w:p w:rsidR="00000000" w:rsidDel="00000000" w:rsidP="00000000" w:rsidRDefault="00000000" w:rsidRPr="00000000" w14:paraId="000000CA">
      <w:pPr>
        <w:numPr>
          <w:ilvl w:val="3"/>
          <w:numId w:val="12"/>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nature of the data to be protected;</w:t>
      </w:r>
    </w:p>
    <w:p w:rsidR="00000000" w:rsidDel="00000000" w:rsidP="00000000" w:rsidRDefault="00000000" w:rsidRPr="00000000" w14:paraId="000000CB">
      <w:pPr>
        <w:numPr>
          <w:ilvl w:val="3"/>
          <w:numId w:val="12"/>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harm that might result from a Personal Data Breach;</w:t>
      </w:r>
    </w:p>
    <w:p w:rsidR="00000000" w:rsidDel="00000000" w:rsidP="00000000" w:rsidRDefault="00000000" w:rsidRPr="00000000" w14:paraId="000000CC">
      <w:pPr>
        <w:numPr>
          <w:ilvl w:val="3"/>
          <w:numId w:val="12"/>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state of technological development; and</w:t>
      </w:r>
    </w:p>
    <w:p w:rsidR="00000000" w:rsidDel="00000000" w:rsidP="00000000" w:rsidRDefault="00000000" w:rsidRPr="00000000" w14:paraId="000000CD">
      <w:pPr>
        <w:numPr>
          <w:ilvl w:val="3"/>
          <w:numId w:val="12"/>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cost of implementing any measures;</w:t>
      </w:r>
    </w:p>
    <w:p w:rsidR="00000000" w:rsidDel="00000000" w:rsidP="00000000" w:rsidRDefault="00000000" w:rsidRPr="00000000" w14:paraId="000000CE">
      <w:pPr>
        <w:numPr>
          <w:ilvl w:val="2"/>
          <w:numId w:val="1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has the capability (whether technological or otherwise), to the extent required by Data Protection Legislation, to provide or correct or delete at the request of a Data Subject all the Personal Data relating to that Data Subject that it holds; and</w:t>
      </w:r>
    </w:p>
    <w:p w:rsidR="00000000" w:rsidDel="00000000" w:rsidP="00000000" w:rsidRDefault="00000000" w:rsidRPr="00000000" w14:paraId="000000CF">
      <w:pPr>
        <w:numPr>
          <w:ilvl w:val="2"/>
          <w:numId w:val="1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notifies the other Party as soon as it becomes aware of a Personal Data Breach. </w:t>
      </w:r>
    </w:p>
    <w:p w:rsidR="00000000" w:rsidDel="00000000" w:rsidP="00000000" w:rsidRDefault="00000000" w:rsidRPr="00000000" w14:paraId="000000D0">
      <w:pPr>
        <w:numPr>
          <w:ilvl w:val="2"/>
          <w:numId w:val="1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the Personal Data is subject to UK GDPR, not transfer such Personal Data outside of the UK unless the prior written consent of the non-transferring Party has been obtained and the following conditions are fulfilled:</w:t>
      </w:r>
    </w:p>
    <w:p w:rsidR="00000000" w:rsidDel="00000000" w:rsidP="00000000" w:rsidRDefault="00000000" w:rsidRPr="00000000" w14:paraId="000000D1">
      <w:pPr>
        <w:numPr>
          <w:ilvl w:val="3"/>
          <w:numId w:val="12"/>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destination country has been recognised as adequate by the UK government in accordance with Article 45 of the UK GDPR or DPA 2018 Section 74; or</w:t>
      </w:r>
    </w:p>
    <w:p w:rsidR="00000000" w:rsidDel="00000000" w:rsidP="00000000" w:rsidRDefault="00000000" w:rsidRPr="00000000" w14:paraId="000000D2">
      <w:pPr>
        <w:numPr>
          <w:ilvl w:val="3"/>
          <w:numId w:val="12"/>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transferring Party has provided appropriate safeguards in relation to the transfer (whether in accordance with Article 46 of the UK GDPR or DPA 2018 Section 75) as agreed with the non-transferring Party which could include relevant parties entering into the International Data Transfer Agreement (the “</w:t>
      </w:r>
      <w:r w:rsidDel="00000000" w:rsidR="00000000" w:rsidRPr="00000000">
        <w:rPr>
          <w:rFonts w:ascii="Arial" w:cs="Arial" w:eastAsia="Arial" w:hAnsi="Arial"/>
          <w:b w:val="1"/>
          <w:bCs w:val="1"/>
          <w:sz w:val="24"/>
          <w:szCs w:val="24"/>
          <w:rtl w:val="0"/>
        </w:rPr>
        <w:t xml:space="preserve">IDTA</w:t>
      </w:r>
      <w:r w:rsidDel="00000000" w:rsidR="00000000" w:rsidRPr="00000000">
        <w:rPr>
          <w:rFonts w:ascii="Arial" w:cs="Arial" w:eastAsia="Arial" w:hAnsi="Arial"/>
          <w:sz w:val="24"/>
          <w:szCs w:val="24"/>
          <w:rtl w:val="0"/>
        </w:rPr>
        <w:t xml:space="preserve">”), or International Data Transfer Agreement Addendum to the European Commission’s SCCs (the </w:t>
      </w:r>
      <w:r w:rsidDel="00000000" w:rsidR="00000000" w:rsidRPr="00000000">
        <w:rPr>
          <w:rFonts w:ascii="Arial" w:cs="Arial" w:eastAsia="Arial" w:hAnsi="Arial"/>
          <w:b w:val="1"/>
          <w:bCs w:val="1"/>
          <w:sz w:val="24"/>
          <w:szCs w:val="24"/>
          <w:rtl w:val="0"/>
        </w:rPr>
        <w:t xml:space="preserve">Addendum</w:t>
      </w:r>
      <w:r w:rsidDel="00000000" w:rsidR="00000000" w:rsidRPr="00000000">
        <w:rPr>
          <w:rFonts w:ascii="Arial" w:cs="Arial" w:eastAsia="Arial" w:hAnsi="Arial"/>
          <w:sz w:val="24"/>
          <w:szCs w:val="24"/>
          <w:rtl w:val="0"/>
        </w:rPr>
        <w:t xml:space="preserve">”), as published by the Information Commissioner’s Office from time to time, as well as any additional measures;</w:t>
      </w:r>
    </w:p>
    <w:p w:rsidR="00000000" w:rsidDel="00000000" w:rsidP="00000000" w:rsidRDefault="00000000" w:rsidRPr="00000000" w14:paraId="000000D3">
      <w:pPr>
        <w:numPr>
          <w:ilvl w:val="3"/>
          <w:numId w:val="12"/>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Data Subject has enforceable rights and effective legal remedies;</w:t>
      </w:r>
    </w:p>
    <w:p w:rsidR="00000000" w:rsidDel="00000000" w:rsidP="00000000" w:rsidRDefault="00000000" w:rsidRPr="00000000" w14:paraId="000000D4">
      <w:pPr>
        <w:numPr>
          <w:ilvl w:val="3"/>
          <w:numId w:val="12"/>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transferring Party complies with its obligations under the Data Protection Legislation by providing an adequate level of protection to any Personal Data that is transferred (or, if it is not so bound, uses its best endeavours to assist the non-transferring Party in meeting its obligations); and</w:t>
      </w:r>
    </w:p>
    <w:p w:rsidR="00000000" w:rsidDel="00000000" w:rsidP="00000000" w:rsidRDefault="00000000" w:rsidRPr="00000000" w14:paraId="000000D5">
      <w:pPr>
        <w:numPr>
          <w:ilvl w:val="3"/>
          <w:numId w:val="12"/>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transferring Party complies with any reasonable instructions notified to it in advance by the non-transferring Party with respect to the processing of the Personal Data; and</w:t>
      </w:r>
    </w:p>
    <w:p w:rsidR="00000000" w:rsidDel="00000000" w:rsidP="00000000" w:rsidRDefault="00000000" w:rsidRPr="00000000" w14:paraId="000000D6">
      <w:pPr>
        <w:numPr>
          <w:ilvl w:val="2"/>
          <w:numId w:val="1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the Personal Data is subject to EU GDPR, not transfer such Personal Data outside of the EU unless the prior written consent of the non-transferring Party has been obtained and the following conditions are fulfilled:</w:t>
      </w:r>
    </w:p>
    <w:p w:rsidR="00000000" w:rsidDel="00000000" w:rsidP="00000000" w:rsidRDefault="00000000" w:rsidRPr="00000000" w14:paraId="000000D7">
      <w:pPr>
        <w:numPr>
          <w:ilvl w:val="3"/>
          <w:numId w:val="12"/>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transfer is in accordance with Article 45 of the EU GDPR; or</w:t>
      </w:r>
    </w:p>
    <w:p w:rsidR="00000000" w:rsidDel="00000000" w:rsidP="00000000" w:rsidRDefault="00000000" w:rsidRPr="00000000" w14:paraId="000000D8">
      <w:pPr>
        <w:numPr>
          <w:ilvl w:val="3"/>
          <w:numId w:val="12"/>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transferring Party has provided appropriate safeguards in relation to the transfer in accordance with Article 46 of the EU GDPR as determined by the non-transferring Party which could include relevant parties entering into Standard Contractual Clauses in the European Commission’s decision 2021/914/EU or such updated version of such Standard Contractual Clauses as are published by the European Commission from time to time as well as any additional measures;</w:t>
      </w:r>
    </w:p>
    <w:p w:rsidR="00000000" w:rsidDel="00000000" w:rsidP="00000000" w:rsidRDefault="00000000" w:rsidRPr="00000000" w14:paraId="000000D9">
      <w:pPr>
        <w:numPr>
          <w:ilvl w:val="3"/>
          <w:numId w:val="12"/>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Data Subject has enforceable rights and effective legal remedies;</w:t>
      </w:r>
    </w:p>
    <w:p w:rsidR="00000000" w:rsidDel="00000000" w:rsidP="00000000" w:rsidRDefault="00000000" w:rsidRPr="00000000" w14:paraId="000000DA">
      <w:pPr>
        <w:numPr>
          <w:ilvl w:val="3"/>
          <w:numId w:val="12"/>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transferring Party complies with its obligations under EU GDPR by providing an adequate level of protection to any Personal Data that is transferred (or, if it is not so bound, uses its best endeavours to assist the non-transferring Party in meeting its obligations); and</w:t>
      </w:r>
    </w:p>
    <w:p w:rsidR="00000000" w:rsidDel="00000000" w:rsidP="00000000" w:rsidRDefault="00000000" w:rsidRPr="00000000" w14:paraId="000000DB">
      <w:pPr>
        <w:numPr>
          <w:ilvl w:val="3"/>
          <w:numId w:val="12"/>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transferring Party complies with any reasonable instructions notified to it in advance by the non-transferring Party with respect to the processing of the Personal Data; and</w:t>
      </w:r>
    </w:p>
    <w:p w:rsidR="00000000" w:rsidDel="00000000" w:rsidP="00000000" w:rsidRDefault="00000000" w:rsidRPr="00000000" w14:paraId="000000DC">
      <w:pPr>
        <w:numPr>
          <w:ilvl w:val="3"/>
          <w:numId w:val="10"/>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Joint Controller shall use its reasonable endeavours to assist the other Controller to comply with any obligations under applicable Data Protection Legislation and shall not perform its obligations under this Annex in such a way as to cause the other Joint Controller to breach any of its obligations under applicable Data Protection Legislation to the extent it is aware, or ought reasonably to have been aware, that the same would be a breach of such obligations.</w:t>
      </w:r>
    </w:p>
    <w:p w:rsidR="00000000" w:rsidDel="00000000" w:rsidP="00000000" w:rsidRDefault="00000000" w:rsidRPr="00000000" w14:paraId="000000DD">
      <w:pPr>
        <w:numPr>
          <w:ilvl w:val="2"/>
          <w:numId w:val="10"/>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Data Protection Breach</w:t>
      </w:r>
    </w:p>
    <w:p w:rsidR="00000000" w:rsidDel="00000000" w:rsidP="00000000" w:rsidRDefault="00000000" w:rsidRPr="00000000" w14:paraId="000000DE">
      <w:pPr>
        <w:numPr>
          <w:ilvl w:val="3"/>
          <w:numId w:val="10"/>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Without prejudice to clause 3.2, each Party shall notify the other Party promptly and without undue delay, and in any event within 48 hours, upon becoming aware of any Personal Data Breach or circumstances that are likely to give rise to a Personal Data Breach, providing the other Party and its advisors with:</w:t>
      </w:r>
    </w:p>
    <w:p w:rsidR="00000000" w:rsidDel="00000000" w:rsidP="00000000" w:rsidRDefault="00000000" w:rsidRPr="00000000" w14:paraId="000000DF">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sufficient information and in a timescale which allows the other Party to meet any obligations to report a Personal Data Breach under the Data Protection Legislation; and</w:t>
      </w:r>
    </w:p>
    <w:p w:rsidR="00000000" w:rsidDel="00000000" w:rsidP="00000000" w:rsidRDefault="00000000" w:rsidRPr="00000000" w14:paraId="000000E0">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all reasonable assistance, including:</w:t>
      </w:r>
    </w:p>
    <w:p w:rsidR="00000000" w:rsidDel="00000000" w:rsidP="00000000" w:rsidRDefault="00000000" w:rsidRPr="00000000" w14:paraId="000000E1">
      <w:pPr>
        <w:numPr>
          <w:ilvl w:val="3"/>
          <w:numId w:val="2"/>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co-operation with the other Party and the Information Commissioner investigating the Personal Data Breach and its cause, containing and recovering the compromised Personal Data and compliance with the applicable guidance;</w:t>
      </w:r>
    </w:p>
    <w:p w:rsidR="00000000" w:rsidDel="00000000" w:rsidP="00000000" w:rsidRDefault="00000000" w:rsidRPr="00000000" w14:paraId="000000E2">
      <w:pPr>
        <w:numPr>
          <w:ilvl w:val="3"/>
          <w:numId w:val="2"/>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co-operation with the other Party including  using such reasonable endeavours  as are directed by the other Party to assist in the investigation, mitigation and remediation of a Personal Data Breach;</w:t>
      </w:r>
    </w:p>
    <w:p w:rsidR="00000000" w:rsidDel="00000000" w:rsidP="00000000" w:rsidRDefault="00000000" w:rsidRPr="00000000" w14:paraId="000000E3">
      <w:pPr>
        <w:numPr>
          <w:ilvl w:val="3"/>
          <w:numId w:val="2"/>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co-ordination with the other Party regarding the management of public relations and public statements relating to the Personal Data Breach; and/or</w:t>
      </w:r>
    </w:p>
    <w:p w:rsidR="00000000" w:rsidDel="00000000" w:rsidP="00000000" w:rsidRDefault="00000000" w:rsidRPr="00000000" w14:paraId="000000E4">
      <w:pPr>
        <w:numPr>
          <w:ilvl w:val="3"/>
          <w:numId w:val="2"/>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providing the other Party and to the extent instructed by the other Party to do so, and/or the Information Commissioner investigating the Personal Data Breach, with complete information relating to the Personal Data Breach, including, without limitation, the information set out in Clause 3.2.</w:t>
      </w:r>
    </w:p>
    <w:p w:rsidR="00000000" w:rsidDel="00000000" w:rsidP="00000000" w:rsidRDefault="00000000" w:rsidRPr="00000000" w14:paraId="000000E5">
      <w:pPr>
        <w:numPr>
          <w:ilvl w:val="3"/>
          <w:numId w:val="10"/>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Party shall use all reasonable endeavours  to restore, re-constitute and/or reconstruct any Personal Data where it has  lost, damaged, destroyed, altered or corrupted as a result of a Personal Data Breach as 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 relating to the Personal Data Breach, in particular:</w:t>
      </w:r>
    </w:p>
    <w:p w:rsidR="00000000" w:rsidDel="00000000" w:rsidP="00000000" w:rsidRDefault="00000000" w:rsidRPr="00000000" w14:paraId="000000E6">
      <w:pPr>
        <w:numPr>
          <w:ilvl w:val="2"/>
          <w:numId w:val="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nature of the Personal Data Breach; </w:t>
      </w:r>
    </w:p>
    <w:p w:rsidR="00000000" w:rsidDel="00000000" w:rsidP="00000000" w:rsidRDefault="00000000" w:rsidRPr="00000000" w14:paraId="000000E7">
      <w:pPr>
        <w:numPr>
          <w:ilvl w:val="2"/>
          <w:numId w:val="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nature of Personal Data affected;</w:t>
      </w:r>
    </w:p>
    <w:p w:rsidR="00000000" w:rsidDel="00000000" w:rsidP="00000000" w:rsidRDefault="00000000" w:rsidRPr="00000000" w14:paraId="000000E8">
      <w:pPr>
        <w:numPr>
          <w:ilvl w:val="2"/>
          <w:numId w:val="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categories and number of Data Subjects concerned;</w:t>
      </w:r>
    </w:p>
    <w:p w:rsidR="00000000" w:rsidDel="00000000" w:rsidP="00000000" w:rsidRDefault="00000000" w:rsidRPr="00000000" w14:paraId="000000E9">
      <w:pPr>
        <w:numPr>
          <w:ilvl w:val="2"/>
          <w:numId w:val="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name and contact details of the Supplier’s Data Protection Officer or other relevant contact from whom more information may be obtained;</w:t>
      </w:r>
    </w:p>
    <w:p w:rsidR="00000000" w:rsidDel="00000000" w:rsidP="00000000" w:rsidRDefault="00000000" w:rsidRPr="00000000" w14:paraId="000000EA">
      <w:pPr>
        <w:numPr>
          <w:ilvl w:val="2"/>
          <w:numId w:val="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measures taken or proposed to be taken to address the Personal Data Breach; and</w:t>
      </w:r>
    </w:p>
    <w:p w:rsidR="00000000" w:rsidDel="00000000" w:rsidP="00000000" w:rsidRDefault="00000000" w:rsidRPr="00000000" w14:paraId="000000EB">
      <w:pPr>
        <w:numPr>
          <w:ilvl w:val="2"/>
          <w:numId w:val="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describe the likely consequences of the Personal Data Breach.</w:t>
      </w:r>
    </w:p>
    <w:p w:rsidR="00000000" w:rsidDel="00000000" w:rsidP="00000000" w:rsidRDefault="00000000" w:rsidRPr="00000000" w14:paraId="000000EC">
      <w:pPr>
        <w:numPr>
          <w:ilvl w:val="2"/>
          <w:numId w:val="10"/>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Audit</w:t>
      </w:r>
    </w:p>
    <w:p w:rsidR="00000000" w:rsidDel="00000000" w:rsidP="00000000" w:rsidRDefault="00000000" w:rsidRPr="00000000" w14:paraId="000000ED">
      <w:pPr>
        <w:numPr>
          <w:ilvl w:val="3"/>
          <w:numId w:val="10"/>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permit:</w:t>
        <w:tab/>
      </w:r>
    </w:p>
    <w:p w:rsidR="00000000" w:rsidDel="00000000" w:rsidP="00000000" w:rsidRDefault="00000000" w:rsidRPr="00000000" w14:paraId="000000EE">
      <w:pPr>
        <w:numPr>
          <w:ilvl w:val="2"/>
          <w:numId w:val="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Relevant Authority, or a third-party auditor acting under the Relevant Authority’s direction, to conduct, at the Relevant Authority’s cost, data privacy and security audits, assessments and inspections concerning the Supplier’s data security and privacy procedures relating to Personal Data, its compliance with this Annex 2 and the Data Protection Legislation; and/or</w:t>
      </w:r>
    </w:p>
    <w:p w:rsidR="00000000" w:rsidDel="00000000" w:rsidP="00000000" w:rsidRDefault="00000000" w:rsidRPr="00000000" w14:paraId="000000EF">
      <w:pPr>
        <w:numPr>
          <w:ilvl w:val="2"/>
          <w:numId w:val="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Relevant Authority, or a third-party auditor acting under the Relevant Authority’s direction, access to premises at which the Personal Data is accessible or at which it is able to inspect any relevant records, including the record maintained under Article 30 UK GDPR by the Supplier so far as relevant to the Contract, and procedures, including premises under the control of any third party appointed by the Supplier to assist in the provision of the Deliverables. </w:t>
      </w:r>
    </w:p>
    <w:p w:rsidR="00000000" w:rsidDel="00000000" w:rsidP="00000000" w:rsidRDefault="00000000" w:rsidRPr="00000000" w14:paraId="000000F0">
      <w:pPr>
        <w:pBdr>
          <w:top w:space="0" w:sz="0" w:val="nil"/>
          <w:left w:space="0" w:sz="0" w:val="nil"/>
          <w:bottom w:space="0" w:sz="0" w:val="nil"/>
          <w:right w:space="0" w:sz="0" w:val="nil"/>
          <w:between w:space="0" w:sz="0" w:val="nil"/>
        </w:pBdr>
        <w:spacing w:after="120" w:before="28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1">
      <w:pPr>
        <w:numPr>
          <w:ilvl w:val="3"/>
          <w:numId w:val="10"/>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 may, in its sole discretion, require the Supplier to provide evidence of the Supplier’s compliance with Clause 4.1 in lieu of conducting such an audit, assessment or inspection.</w:t>
      </w:r>
    </w:p>
    <w:p w:rsidR="00000000" w:rsidDel="00000000" w:rsidP="00000000" w:rsidRDefault="00000000" w:rsidRPr="00000000" w14:paraId="000000F2">
      <w:pPr>
        <w:numPr>
          <w:ilvl w:val="2"/>
          <w:numId w:val="10"/>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Impact Assessments</w:t>
      </w:r>
    </w:p>
    <w:p w:rsidR="00000000" w:rsidDel="00000000" w:rsidP="00000000" w:rsidRDefault="00000000" w:rsidRPr="00000000" w14:paraId="000000F3">
      <w:pPr>
        <w:numPr>
          <w:ilvl w:val="3"/>
          <w:numId w:val="10"/>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Parties shall:</w:t>
      </w:r>
    </w:p>
    <w:p w:rsidR="00000000" w:rsidDel="00000000" w:rsidP="00000000" w:rsidRDefault="00000000" w:rsidRPr="00000000" w14:paraId="000000F4">
      <w:pPr>
        <w:numPr>
          <w:ilvl w:val="2"/>
          <w:numId w:val="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all reasonable assistance to each other to prepare any Data Protection Impact Assessment as may be required (including provision of detailed information and assessments in relation to Processing operations, risks and measures); and</w:t>
      </w:r>
    </w:p>
    <w:p w:rsidR="00000000" w:rsidDel="00000000" w:rsidP="00000000" w:rsidRDefault="00000000" w:rsidRPr="00000000" w14:paraId="000000F5">
      <w:pPr>
        <w:pBdr>
          <w:top w:space="0" w:sz="0" w:val="nil"/>
          <w:left w:space="0" w:sz="0" w:val="nil"/>
          <w:bottom w:space="0" w:sz="0" w:val="nil"/>
          <w:right w:space="0" w:sz="0" w:val="nil"/>
          <w:between w:space="0" w:sz="0" w:val="nil"/>
        </w:pBdr>
        <w:spacing w:after="80" w:lineRule="auto"/>
        <w:ind w:left="11"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6">
      <w:pPr>
        <w:numPr>
          <w:ilvl w:val="2"/>
          <w:numId w:val="1"/>
        </w:numPr>
        <w:pBdr>
          <w:top w:space="0" w:sz="0" w:val="nil"/>
          <w:left w:space="0" w:sz="0" w:val="nil"/>
          <w:bottom w:space="0" w:sz="0" w:val="nil"/>
          <w:right w:space="0" w:sz="0" w:val="nil"/>
          <w:between w:space="0" w:sz="0" w:val="nil"/>
        </w:pBdr>
        <w:spacing w:after="120" w:before="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maintain full and complete records of all Processing carried out in respect of the Personal Data in connection with the Contract, in accordance with the terms of Article 30 UK GDPR.</w:t>
      </w:r>
    </w:p>
    <w:p w:rsidR="00000000" w:rsidDel="00000000" w:rsidP="00000000" w:rsidRDefault="00000000" w:rsidRPr="00000000" w14:paraId="000000F7">
      <w:pPr>
        <w:keepNext w:val="1"/>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8">
      <w:pPr>
        <w:numPr>
          <w:ilvl w:val="2"/>
          <w:numId w:val="10"/>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ICO Guidance</w:t>
      </w:r>
    </w:p>
    <w:p w:rsidR="00000000" w:rsidDel="00000000" w:rsidP="00000000" w:rsidRDefault="00000000" w:rsidRPr="00000000" w14:paraId="000000F9">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agree to take account of any non-mandatory guidance issued by the Information Commissioner, any relevant Central Government Body and/or any other regulatory authority. The Relevant Authority may on not less than thirty (30) Working Days’ notice to the Supplier amend the Contract to ensure that it complies with any guidance issued by the Information Commissioner, any relevant Central Government Body and/or any other regulatory authority.</w:t>
      </w:r>
    </w:p>
    <w:p w:rsidR="00000000" w:rsidDel="00000000" w:rsidP="00000000" w:rsidRDefault="00000000" w:rsidRPr="00000000" w14:paraId="000000FA">
      <w:pPr>
        <w:numPr>
          <w:ilvl w:val="2"/>
          <w:numId w:val="10"/>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Liabilities for Data Protection Breach</w:t>
      </w:r>
    </w:p>
    <w:p w:rsidR="00000000" w:rsidDel="00000000" w:rsidP="00000000" w:rsidRDefault="00000000" w:rsidRPr="00000000" w14:paraId="000000FB">
      <w:pPr>
        <w:ind w:left="720" w:firstLine="0"/>
        <w:rPr>
          <w:rFonts w:ascii="Arial" w:cs="Arial" w:eastAsia="Arial" w:hAnsi="Arial"/>
          <w:b w:val="1"/>
          <w:bCs w:val="1"/>
          <w:sz w:val="24"/>
          <w:szCs w:val="24"/>
        </w:rPr>
      </w:pPr>
      <w:r w:rsidDel="00000000" w:rsidR="00000000" w:rsidRPr="00000000">
        <w:rPr>
          <w:rFonts w:ascii="Arial" w:cs="Arial" w:eastAsia="Arial" w:hAnsi="Arial"/>
          <w:b w:val="1"/>
          <w:bCs w:val="1"/>
          <w:sz w:val="24"/>
          <w:szCs w:val="24"/>
          <w:highlight w:val="yellow"/>
          <w:rtl w:val="0"/>
        </w:rPr>
        <w:t xml:space="preserve">[Guidance: </w:t>
      </w:r>
      <w:r w:rsidDel="00000000" w:rsidR="00000000" w:rsidRPr="00000000">
        <w:rPr>
          <w:rFonts w:ascii="Arial" w:cs="Arial" w:eastAsia="Arial" w:hAnsi="Arial"/>
          <w:sz w:val="24"/>
          <w:szCs w:val="24"/>
          <w:highlight w:val="yellow"/>
          <w:rtl w:val="0"/>
        </w:rPr>
        <w:t xml:space="preserve">This clause represents a risk share, you may wish to reconsider the apportionment of liability and whether recoverability of losses are likely to be hindered by the contractual limitation of liability provisions]</w:t>
      </w:r>
      <w:r w:rsidDel="00000000" w:rsidR="00000000" w:rsidRPr="00000000">
        <w:rPr>
          <w:rFonts w:ascii="Arial" w:cs="Arial" w:eastAsia="Arial" w:hAnsi="Arial"/>
          <w:sz w:val="24"/>
          <w:szCs w:val="24"/>
          <w:rtl w:val="0"/>
        </w:rPr>
        <w:t xml:space="preserve"> </w:t>
      </w:r>
      <w:r w:rsidDel="00000000" w:rsidR="00000000" w:rsidRPr="00000000">
        <w:rPr>
          <w:rtl w:val="0"/>
        </w:rPr>
      </w:r>
    </w:p>
    <w:p w:rsidR="00000000" w:rsidDel="00000000" w:rsidP="00000000" w:rsidRDefault="00000000" w:rsidRPr="00000000" w14:paraId="000000FC">
      <w:pPr>
        <w:numPr>
          <w:ilvl w:val="3"/>
          <w:numId w:val="10"/>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financial penalties are imposed by the Information Commissioner on either the Relevant Authority or the Supplier for a Personal Data Breach ("</w:t>
      </w:r>
      <w:r w:rsidDel="00000000" w:rsidR="00000000" w:rsidRPr="00000000">
        <w:rPr>
          <w:rFonts w:ascii="Arial" w:cs="Arial" w:eastAsia="Arial" w:hAnsi="Arial"/>
          <w:b w:val="1"/>
          <w:bCs w:val="1"/>
          <w:color w:val="000000"/>
          <w:sz w:val="24"/>
          <w:szCs w:val="24"/>
          <w:rtl w:val="0"/>
        </w:rPr>
        <w:t xml:space="preserve">Financial Penalties</w:t>
      </w:r>
      <w:r w:rsidDel="00000000" w:rsidR="00000000" w:rsidRPr="00000000">
        <w:rPr>
          <w:rFonts w:ascii="Arial" w:cs="Arial" w:eastAsia="Arial" w:hAnsi="Arial"/>
          <w:color w:val="000000"/>
          <w:sz w:val="24"/>
          <w:szCs w:val="24"/>
          <w:rtl w:val="0"/>
        </w:rPr>
        <w:t xml:space="preserve">") then the following shall occur:</w:t>
      </w:r>
    </w:p>
    <w:p w:rsidR="00000000" w:rsidDel="00000000" w:rsidP="00000000" w:rsidRDefault="00000000" w:rsidRPr="00000000" w14:paraId="000000FD">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in the view of the Information Commissioner, the Relevant Authority is responsible for the Personal Data Breach, in that it is caused as a result of the actions or inaction of the Relevant Authority, its employees, agents, contractors (other than the Supplier) or systems and procedures controlled by the Relevant Authority, then the Relevant Authority shall be responsible for the payment of such Financial Penalties. In this case, the Relevant Authority will conduct an internal audit and engage at its reasonable cost when necessary, an independent third party to conduct an audit of any such Personal Data Breach. The Supplier shall provide to the Relevant Authority and its third party investigators and auditors, on request and at the Supplier's reasonable cost, full cooperation and access to conduct a thorough audit of such Personal Data Breach; </w:t>
      </w:r>
    </w:p>
    <w:p w:rsidR="00000000" w:rsidDel="00000000" w:rsidP="00000000" w:rsidRDefault="00000000" w:rsidRPr="00000000" w14:paraId="000000FE">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in the view of the Information Commissioner, the Supplier is responsible for the Personal Data Breach, in that it is not a Personal Data Breach that the Relevant Authority is responsible for, then the Supplier shall be responsible for the payment of these Financial Penalties. The Supplier will provide to the Relevant Authority and its auditors, on request and at the Supplier’s sole cost, full cooperation and access to conduct a thorough audit of such Personal Data Breach; or</w:t>
      </w:r>
    </w:p>
    <w:p w:rsidR="00000000" w:rsidDel="00000000" w:rsidP="00000000" w:rsidRDefault="00000000" w:rsidRPr="00000000" w14:paraId="000000FF">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no view as to responsibility is expressed by the Information Commissioner, then the Relevant Authority and the Supplier shall work together to investigate the relevant Personal Data Breach and allocate responsibility for any Financial Penalties as outlined above, or by agreement to split any financial penalties equally if no responsibility for the Personal Data Breach can be apportioned. In the event that the Parties do not agree such apportionment then such Dispute shall be referred to the Dispute Resolution Procedure set out in Clause 34 of the Core Terms (Resolving disputes). </w:t>
      </w:r>
    </w:p>
    <w:p w:rsidR="00000000" w:rsidDel="00000000" w:rsidP="00000000" w:rsidRDefault="00000000" w:rsidRPr="00000000" w14:paraId="00000100">
      <w:pPr>
        <w:numPr>
          <w:ilvl w:val="3"/>
          <w:numId w:val="10"/>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either the Relevant Authority or the Supplier is the defendant in a legal claim brought before a court of competent jurisdiction (“Court”) by a third party in respect of a Personal Data Breach, then unless the Parties otherwise agree, the Party that is determined by the final decision of the court to be responsible for the Personal Data Breach shall be liable for the losses arising from such Personal Data Breach. Where both Parties are liable, the liability will be apportioned between the Parties in accordance with the decision of the Court.  </w:t>
      </w:r>
    </w:p>
    <w:p w:rsidR="00000000" w:rsidDel="00000000" w:rsidP="00000000" w:rsidRDefault="00000000" w:rsidRPr="00000000" w14:paraId="00000101">
      <w:pPr>
        <w:numPr>
          <w:ilvl w:val="3"/>
          <w:numId w:val="10"/>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any losses, cost claims or expenses incurred by either Party as a result of a Personal Data Breach (the “Claim Losses”):</w:t>
      </w:r>
    </w:p>
    <w:p w:rsidR="00000000" w:rsidDel="00000000" w:rsidP="00000000" w:rsidRDefault="00000000" w:rsidRPr="00000000" w14:paraId="00000102">
      <w:pPr>
        <w:numPr>
          <w:ilvl w:val="2"/>
          <w:numId w:val="1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the Relevant Authority is responsible for the relevant Personal Data Breach, then the Relevant Authority shall be responsible for the Claim Losses;</w:t>
      </w:r>
    </w:p>
    <w:p w:rsidR="00000000" w:rsidDel="00000000" w:rsidP="00000000" w:rsidRDefault="00000000" w:rsidRPr="00000000" w14:paraId="00000103">
      <w:pPr>
        <w:numPr>
          <w:ilvl w:val="2"/>
          <w:numId w:val="1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is responsible for the relevant Personal Data Breach, then the Supplier shall be responsible for the Claim Losses: and</w:t>
      </w:r>
    </w:p>
    <w:p w:rsidR="00000000" w:rsidDel="00000000" w:rsidP="00000000" w:rsidRDefault="00000000" w:rsidRPr="00000000" w14:paraId="00000104">
      <w:pPr>
        <w:numPr>
          <w:ilvl w:val="2"/>
          <w:numId w:val="1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responsibility for the relevant Personal Data Breach is unclear, then the Relevant Authority and the Supplier shall be responsible for the Claim Losses equally. </w:t>
      </w:r>
    </w:p>
    <w:p w:rsidR="00000000" w:rsidDel="00000000" w:rsidP="00000000" w:rsidRDefault="00000000" w:rsidRPr="00000000" w14:paraId="00000105">
      <w:pPr>
        <w:pBdr>
          <w:top w:space="0" w:sz="0" w:val="nil"/>
          <w:left w:space="0" w:sz="0" w:val="nil"/>
          <w:bottom w:space="0" w:sz="0" w:val="nil"/>
          <w:right w:space="0" w:sz="0" w:val="nil"/>
          <w:between w:space="0" w:sz="0" w:val="nil"/>
        </w:pBdr>
        <w:spacing w:after="120" w:before="280" w:line="240" w:lineRule="auto"/>
        <w:ind w:left="809"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06">
      <w:pPr>
        <w:numPr>
          <w:ilvl w:val="3"/>
          <w:numId w:val="10"/>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Nothing in either clause 7.2 or clause 7.3 shall preclude the Relevant Authority and the Supplier reaching any other agreement, including by way of compromise with a third party complainant or claimant, as to the apportionment of financial responsibility for any Claim Losses as a result of a Personal Data Breach, having regard to all the circumstances of the Personal Data Breach and the legal and financial obligations of the Relevant Authority.</w:t>
      </w:r>
    </w:p>
    <w:p w:rsidR="00000000" w:rsidDel="00000000" w:rsidP="00000000" w:rsidRDefault="00000000" w:rsidRPr="00000000" w14:paraId="00000107">
      <w:pPr>
        <w:numPr>
          <w:ilvl w:val="2"/>
          <w:numId w:val="10"/>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Termination</w:t>
      </w:r>
    </w:p>
    <w:p w:rsidR="00000000" w:rsidDel="00000000" w:rsidP="00000000" w:rsidRDefault="00000000" w:rsidRPr="00000000" w14:paraId="00000108">
      <w:pPr>
        <w:keepNext w:val="1"/>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is in material Default under any of its obligations under this Annex 2 (</w:t>
      </w:r>
      <w:r w:rsidDel="00000000" w:rsidR="00000000" w:rsidRPr="00000000">
        <w:rPr>
          <w:rFonts w:ascii="Arial" w:cs="Arial" w:eastAsia="Arial" w:hAnsi="Arial"/>
          <w:i w:val="1"/>
          <w:iCs w:val="1"/>
          <w:sz w:val="24"/>
          <w:szCs w:val="24"/>
          <w:rtl w:val="0"/>
        </w:rPr>
        <w:t xml:space="preserve">Joint Controller Agreement</w:t>
      </w:r>
      <w:r w:rsidDel="00000000" w:rsidR="00000000" w:rsidRPr="00000000">
        <w:rPr>
          <w:rFonts w:ascii="Arial" w:cs="Arial" w:eastAsia="Arial" w:hAnsi="Arial"/>
          <w:sz w:val="24"/>
          <w:szCs w:val="24"/>
          <w:rtl w:val="0"/>
        </w:rPr>
        <w:t xml:space="preserve">), the Relevant Authority shall be entitled to terminate the Contract by issuing a Termination Notice to the Supplier in accordance with Clause 10 of the Core Terms (</w:t>
      </w:r>
      <w:r w:rsidDel="00000000" w:rsidR="00000000" w:rsidRPr="00000000">
        <w:rPr>
          <w:rFonts w:ascii="Arial" w:cs="Arial" w:eastAsia="Arial" w:hAnsi="Arial"/>
          <w:i w:val="1"/>
          <w:iCs w:val="1"/>
          <w:sz w:val="24"/>
          <w:szCs w:val="24"/>
          <w:rtl w:val="0"/>
        </w:rPr>
        <w:t xml:space="preserve">Ending the contract</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109">
      <w:pPr>
        <w:numPr>
          <w:ilvl w:val="2"/>
          <w:numId w:val="10"/>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b w:val="1"/>
          <w:bCs w:val="1"/>
          <w:color w:val="000000"/>
          <w:sz w:val="24"/>
          <w:szCs w:val="24"/>
          <w:rtl w:val="0"/>
        </w:rPr>
        <w:t xml:space="preserve">Sub-Processing</w:t>
      </w:r>
      <w:r w:rsidDel="00000000" w:rsidR="00000000" w:rsidRPr="00000000">
        <w:rPr>
          <w:rtl w:val="0"/>
        </w:rPr>
      </w:r>
    </w:p>
    <w:p w:rsidR="00000000" w:rsidDel="00000000" w:rsidP="00000000" w:rsidRDefault="00000000" w:rsidRPr="00000000" w14:paraId="0000010A">
      <w:pPr>
        <w:numPr>
          <w:ilvl w:val="3"/>
          <w:numId w:val="10"/>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any Processing of Personal Data performed by a third party on behalf of a Party, that Party shall:</w:t>
      </w:r>
    </w:p>
    <w:p w:rsidR="00000000" w:rsidDel="00000000" w:rsidP="00000000" w:rsidRDefault="00000000" w:rsidRPr="00000000" w14:paraId="0000010B">
      <w:pPr>
        <w:numPr>
          <w:ilvl w:val="2"/>
          <w:numId w:val="9"/>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carry out adequate due diligence on such third party to ensure that it is capable of providing the level of protection for the Personal Data as is required by the Contract, and  provide evidence of such due diligence to the  other Party where reasonably requested; and</w:t>
      </w:r>
    </w:p>
    <w:p w:rsidR="00000000" w:rsidDel="00000000" w:rsidP="00000000" w:rsidRDefault="00000000" w:rsidRPr="00000000" w14:paraId="0000010C">
      <w:pPr>
        <w:numPr>
          <w:ilvl w:val="2"/>
          <w:numId w:val="9"/>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a suitable agreement is in place with the third party as required under applicable Data Protection Legislation.</w:t>
      </w:r>
    </w:p>
    <w:p w:rsidR="00000000" w:rsidDel="00000000" w:rsidP="00000000" w:rsidRDefault="00000000" w:rsidRPr="00000000" w14:paraId="0000010D">
      <w:pPr>
        <w:pBdr>
          <w:top w:space="0" w:sz="0" w:val="nil"/>
          <w:left w:space="0" w:sz="0" w:val="nil"/>
          <w:bottom w:space="0" w:sz="0" w:val="nil"/>
          <w:right w:space="0" w:sz="0" w:val="nil"/>
          <w:between w:space="0" w:sz="0" w:val="nil"/>
        </w:pBdr>
        <w:spacing w:after="120" w:before="280" w:line="240" w:lineRule="auto"/>
        <w:ind w:left="809"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0E">
      <w:pPr>
        <w:numPr>
          <w:ilvl w:val="2"/>
          <w:numId w:val="10"/>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b w:val="1"/>
          <w:bCs w:val="1"/>
          <w:color w:val="000000"/>
          <w:sz w:val="24"/>
          <w:szCs w:val="24"/>
          <w:rtl w:val="0"/>
        </w:rPr>
        <w:t xml:space="preserve">Data Retention</w:t>
      </w:r>
      <w:r w:rsidDel="00000000" w:rsidR="00000000" w:rsidRPr="00000000">
        <w:rPr>
          <w:rtl w:val="0"/>
        </w:rPr>
      </w:r>
    </w:p>
    <w:p w:rsidR="00000000" w:rsidDel="00000000" w:rsidP="00000000" w:rsidRDefault="00000000" w:rsidRPr="00000000" w14:paraId="0000010F">
      <w:pPr>
        <w:pBdr>
          <w:top w:space="0" w:sz="0" w:val="nil"/>
          <w:left w:space="0" w:sz="0" w:val="nil"/>
          <w:bottom w:space="0" w:sz="0" w:val="nil"/>
          <w:right w:space="0" w:sz="0" w:val="nil"/>
          <w:between w:space="0" w:sz="0" w:val="nil"/>
        </w:pBdr>
        <w:tabs>
          <w:tab w:val="left" w:leader="none" w:pos="-179"/>
        </w:tabs>
        <w:spacing w:after="120" w:line="240" w:lineRule="auto"/>
        <w:ind w:left="720" w:firstLine="0"/>
        <w:jc w:val="both"/>
        <w:rPr>
          <w:rFonts w:ascii="Arial" w:cs="Arial" w:eastAsia="Arial" w:hAnsi="Arial"/>
          <w:b w:val="1"/>
          <w:bCs w:val="1"/>
          <w:color w:val="000000"/>
          <w:sz w:val="24"/>
          <w:szCs w:val="24"/>
        </w:rPr>
      </w:pPr>
      <w:r w:rsidDel="00000000" w:rsidR="00000000" w:rsidRPr="00000000">
        <w:rPr>
          <w:rFonts w:ascii="Arial" w:cs="Arial" w:eastAsia="Arial" w:hAnsi="Arial"/>
          <w:color w:val="000000"/>
          <w:sz w:val="24"/>
          <w:szCs w:val="24"/>
          <w:rtl w:val="0"/>
        </w:rPr>
        <w:t xml:space="preserve">The Parties agree to erase Personal Data from any computers, storage devices and storage media that are to be retained as soon as practicable after it has ceased to be necessary for them to retain such Personal Data under applicable Data Protection Legislation and their privacy policy (save to the extent (and for the limited period) that such information needs to be retained by the  Party for statutory compliance purposes or as otherwise required by the Contract), and taking all further actions as may be necessary to ensure its compliance with Data Protection Legislation and its privacy policy. </w:t>
      </w:r>
      <w:r w:rsidDel="00000000" w:rsidR="00000000" w:rsidRPr="00000000">
        <w:rPr>
          <w:rtl w:val="0"/>
        </w:rPr>
      </w:r>
    </w:p>
    <w:p w:rsidR="00000000" w:rsidDel="00000000" w:rsidP="00000000" w:rsidRDefault="00000000" w:rsidRPr="00000000" w14:paraId="00000110">
      <w:pPr>
        <w:pBdr>
          <w:top w:space="0" w:sz="0" w:val="nil"/>
          <w:left w:space="0" w:sz="0" w:val="nil"/>
          <w:bottom w:space="0" w:sz="0" w:val="nil"/>
          <w:right w:space="0" w:sz="0" w:val="nil"/>
          <w:between w:space="0" w:sz="0" w:val="nil"/>
        </w:pBdr>
        <w:tabs>
          <w:tab w:val="left" w:leader="none" w:pos="-179"/>
        </w:tabs>
        <w:spacing w:after="120" w:line="240" w:lineRule="auto"/>
        <w:ind w:left="2160" w:hanging="2160"/>
        <w:jc w:val="both"/>
        <w:rPr>
          <w:rFonts w:ascii="Arial" w:cs="Arial" w:eastAsia="Arial" w:hAnsi="Arial"/>
          <w:color w:val="000000"/>
          <w:sz w:val="24"/>
          <w:szCs w:val="24"/>
        </w:rPr>
      </w:pPr>
      <w:r w:rsidDel="00000000" w:rsidR="00000000" w:rsidRPr="00000000">
        <w:rPr>
          <w:rtl w:val="0"/>
        </w:rPr>
      </w:r>
    </w:p>
    <w:bookmarkStart w:colFirst="0" w:colLast="0" w:name="1ksv4uv" w:id="17"/>
    <w:bookmarkEnd w:id="17"/>
    <w:p w:rsidR="00000000" w:rsidDel="00000000" w:rsidP="00000000" w:rsidRDefault="00000000" w:rsidRPr="00000000" w14:paraId="00000111">
      <w:pPr>
        <w:keepNext w:val="1"/>
        <w:pBdr>
          <w:top w:space="0" w:sz="0" w:val="nil"/>
          <w:left w:space="0" w:sz="0" w:val="nil"/>
          <w:bottom w:space="0" w:sz="0" w:val="nil"/>
          <w:right w:space="0" w:sz="0" w:val="nil"/>
          <w:between w:space="0" w:sz="0" w:val="nil"/>
        </w:pBdr>
        <w:spacing w:after="240" w:before="240" w:lineRule="auto"/>
        <w:ind w:left="720" w:hanging="720"/>
        <w:jc w:val="both"/>
        <w:rPr>
          <w:rFonts w:ascii="Arial" w:cs="Arial" w:eastAsia="Arial" w:hAnsi="Arial"/>
          <w:b w:val="1"/>
          <w:bCs w:val="1"/>
          <w:color w:val="000000"/>
          <w:sz w:val="24"/>
          <w:szCs w:val="24"/>
        </w:rPr>
      </w:pPr>
      <w:bookmarkStart w:colFirst="0" w:colLast="0" w:name="_44sinio" w:id="18"/>
      <w:bookmarkEnd w:id="18"/>
      <w:r w:rsidDel="00000000" w:rsidR="00000000" w:rsidRPr="00000000">
        <w:rPr>
          <w:rtl w:val="0"/>
        </w:rPr>
      </w:r>
    </w:p>
    <w:sectPr>
      <w:headerReference r:id="rId6" w:type="default"/>
      <w:headerReference r:id="rId7" w:type="firs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Arial"/>
  <w:font w:name="Cambria"/>
  <w:font w:name="Georgia"/>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15">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116">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Fonts w:ascii="Arial" w:cs="Arial" w:eastAsia="Arial" w:hAnsi="Arial"/>
        <w:color w:val="000000"/>
        <w:sz w:val="20"/>
        <w:szCs w:val="20"/>
        <w:rtl w:val="0"/>
      </w:rPr>
      <w:t xml:space="preserve">-</w:t>
    </w:r>
  </w:p>
  <w:p w:rsidR="00000000" w:rsidDel="00000000" w:rsidP="00000000" w:rsidRDefault="00000000" w:rsidRPr="00000000" w14:paraId="00000117">
    <w:pPr>
      <w:spacing w:after="0" w:lineRule="auto"/>
      <w:rPr/>
    </w:pPr>
    <w:r w:rsidDel="00000000" w:rsidR="00000000" w:rsidRPr="00000000">
      <w:rPr>
        <w:rFonts w:ascii="Arial" w:cs="Arial" w:eastAsia="Arial" w:hAnsi="Arial"/>
        <w:sz w:val="20"/>
        <w:szCs w:val="20"/>
        <w:rtl w:val="0"/>
      </w:rPr>
      <w:t xml:space="preserve">Model Version: v3.0</w:t>
      <w:tab/>
      <w:tab/>
      <w:tab/>
      <w:tab/>
      <w:tab/>
      <w:tab/>
      <w:tab/>
      <w:tab/>
      <w:tab/>
    </w:r>
    <w:r w:rsidDel="00000000" w:rsidR="00000000" w:rsidRPr="00000000">
      <w:rPr>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18">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RM6302 - Language Services</w:t>
      <w:tab/>
      <w:t xml:space="preserve">                                           </w:t>
    </w:r>
  </w:p>
  <w:p w:rsidR="00000000" w:rsidDel="00000000" w:rsidP="00000000" w:rsidRDefault="00000000" w:rsidRPr="00000000" w14:paraId="00000119">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Fonts w:ascii="Arial" w:cs="Arial" w:eastAsia="Arial" w:hAnsi="Arial"/>
        <w:color w:val="000000"/>
        <w:sz w:val="20"/>
        <w:szCs w:val="20"/>
        <w:rtl w:val="0"/>
      </w:rPr>
      <w:t xml:space="preserve">-</w:t>
    </w:r>
  </w:p>
  <w:p w:rsidR="00000000" w:rsidDel="00000000" w:rsidP="00000000" w:rsidRDefault="00000000" w:rsidRPr="00000000" w14:paraId="0000011A">
    <w:pPr>
      <w:spacing w:after="0" w:lineRule="auto"/>
      <w:rPr/>
    </w:pPr>
    <w:r w:rsidDel="00000000" w:rsidR="00000000" w:rsidRPr="00000000">
      <w:rPr>
        <w:rFonts w:ascii="Arial" w:cs="Arial" w:eastAsia="Arial" w:hAnsi="Arial"/>
        <w:sz w:val="20"/>
        <w:szCs w:val="20"/>
        <w:rtl w:val="0"/>
      </w:rPr>
      <w:t xml:space="preserve">Model Version: v4.7</w:t>
      <w:tab/>
      <w:tab/>
      <w:tab/>
      <w:tab/>
      <w:tab/>
      <w:tab/>
      <w:tab/>
      <w:tab/>
      <w:tab/>
    </w:r>
    <w:r w:rsidDel="00000000" w:rsidR="00000000" w:rsidRPr="00000000">
      <w:rPr>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1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5714365</wp:posOffset>
          </wp:positionH>
          <wp:positionV relativeFrom="paragraph">
            <wp:posOffset>-13329</wp:posOffset>
          </wp:positionV>
          <wp:extent cx="849085" cy="685627"/>
          <wp:effectExtent b="0" l="0" r="0" t="0"/>
          <wp:wrapNone/>
          <wp:docPr descr="Crown Commercial Service" id="1" name="image1.png"/>
          <a:graphic>
            <a:graphicData uri="http://schemas.openxmlformats.org/drawingml/2006/picture">
              <pic:pic>
                <pic:nvPicPr>
                  <pic:cNvPr descr="Crown Commercial Service" id="0" name="image1.png"/>
                  <pic:cNvPicPr preferRelativeResize="0"/>
                </pic:nvPicPr>
                <pic:blipFill>
                  <a:blip r:embed="rId1"/>
                  <a:srcRect b="0" l="0" r="0" t="0"/>
                  <a:stretch>
                    <a:fillRect/>
                  </a:stretch>
                </pic:blipFill>
                <pic:spPr>
                  <a:xfrm>
                    <a:off x="0" y="0"/>
                    <a:ext cx="849085" cy="685627"/>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13">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Joint Schedule 11 (Processing Data)</w:t>
    </w:r>
  </w:p>
  <w:p w:rsidR="00000000" w:rsidDel="00000000" w:rsidP="00000000" w:rsidRDefault="00000000" w:rsidRPr="00000000" w14:paraId="00000114">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2023</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23"/>
      <w:numFmt w:val="decimal"/>
      <w:lvlText w:val="%1"/>
      <w:lvlJc w:val="left"/>
      <w:pPr>
        <w:ind w:left="709" w:hanging="709"/>
      </w:pPr>
      <w:rPr>
        <w:b w:val="1"/>
        <w:bCs w:val="1"/>
      </w:rPr>
    </w:lvl>
    <w:lvl w:ilvl="1">
      <w:start w:val="1"/>
      <w:numFmt w:val="decimal"/>
      <w:lvlText w:val="%2."/>
      <w:lvlJc w:val="left"/>
      <w:pPr>
        <w:ind w:left="709" w:hanging="709"/>
      </w:pPr>
      <w:rPr>
        <w:b w:val="0"/>
        <w:bCs w:val="0"/>
        <w:i w:val="0"/>
        <w:iCs w:val="0"/>
        <w:color w:val="000000"/>
        <w:sz w:val="22"/>
        <w:szCs w:val="22"/>
      </w:rPr>
    </w:lvl>
    <w:lvl w:ilvl="2">
      <w:start w:val="1"/>
      <w:numFmt w:val="lowerLetter"/>
      <w:lvlText w:val="(%3)"/>
      <w:lvlJc w:val="left"/>
      <w:pPr>
        <w:ind w:left="809" w:hanging="709"/>
      </w:pPr>
      <w:rPr>
        <w:b w:val="0"/>
        <w:bCs w:val="0"/>
        <w:i w:val="0"/>
        <w:iCs w:val="0"/>
        <w:sz w:val="22"/>
        <w:szCs w:val="22"/>
      </w:rPr>
    </w:lvl>
    <w:lvl w:ilvl="3">
      <w:start w:val="1"/>
      <w:numFmt w:val="lowerRoman"/>
      <w:lvlText w:val="(%4)"/>
      <w:lvlJc w:val="left"/>
      <w:pPr>
        <w:ind w:left="2126" w:hanging="708"/>
      </w:pPr>
      <w:rPr>
        <w:b w:val="0"/>
        <w:bCs w:val="0"/>
        <w:i w:val="0"/>
        <w:iCs w:val="0"/>
        <w:sz w:val="22"/>
        <w:szCs w:val="22"/>
      </w:rPr>
    </w:lvl>
    <w:lvl w:ilvl="4">
      <w:start w:val="1"/>
      <w:numFmt w:val="upperLetter"/>
      <w:lvlText w:val="(%5)"/>
      <w:lvlJc w:val="left"/>
      <w:pPr>
        <w:ind w:left="2836" w:hanging="709"/>
      </w:pPr>
      <w:rPr>
        <w:b w:val="0"/>
        <w:bCs w:val="0"/>
        <w:i w:val="0"/>
        <w:iCs w:val="0"/>
      </w:rPr>
    </w:lvl>
    <w:lvl w:ilvl="5">
      <w:start w:val="1"/>
      <w:numFmt w:val="decimal"/>
      <w:lvlText w:val="%6)"/>
      <w:lvlJc w:val="left"/>
      <w:pPr>
        <w:ind w:left="3544" w:hanging="708.0000000000009"/>
      </w:pPr>
      <w:rPr/>
    </w:lvl>
    <w:lvl w:ilvl="6">
      <w:start w:val="1"/>
      <w:numFmt w:val="decimal"/>
      <w:lvlText w:val="%7%3)"/>
      <w:lvlJc w:val="left"/>
      <w:pPr>
        <w:ind w:left="2714" w:hanging="1296.0000000000005"/>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2">
    <w:lvl w:ilvl="0">
      <w:start w:val="23"/>
      <w:numFmt w:val="decimal"/>
      <w:lvlText w:val="%1"/>
      <w:lvlJc w:val="left"/>
      <w:pPr>
        <w:ind w:left="709" w:hanging="709"/>
      </w:pPr>
      <w:rPr>
        <w:b w:val="1"/>
        <w:bCs w:val="1"/>
      </w:rPr>
    </w:lvl>
    <w:lvl w:ilvl="1">
      <w:start w:val="1"/>
      <w:numFmt w:val="decimal"/>
      <w:lvlText w:val="%2."/>
      <w:lvlJc w:val="left"/>
      <w:pPr>
        <w:ind w:left="709" w:hanging="709"/>
      </w:pPr>
      <w:rPr>
        <w:b w:val="0"/>
        <w:bCs w:val="0"/>
        <w:i w:val="0"/>
        <w:iCs w:val="0"/>
        <w:color w:val="000000"/>
        <w:sz w:val="22"/>
        <w:szCs w:val="22"/>
      </w:rPr>
    </w:lvl>
    <w:lvl w:ilvl="2">
      <w:start w:val="1"/>
      <w:numFmt w:val="lowerLetter"/>
      <w:lvlText w:val="(%3)"/>
      <w:lvlJc w:val="left"/>
      <w:pPr>
        <w:ind w:left="809" w:hanging="709"/>
      </w:pPr>
      <w:rPr>
        <w:b w:val="0"/>
        <w:bCs w:val="0"/>
        <w:i w:val="0"/>
        <w:iCs w:val="0"/>
        <w:sz w:val="22"/>
        <w:szCs w:val="22"/>
      </w:rPr>
    </w:lvl>
    <w:lvl w:ilvl="3">
      <w:start w:val="1"/>
      <w:numFmt w:val="lowerRoman"/>
      <w:lvlText w:val="(%4)"/>
      <w:lvlJc w:val="left"/>
      <w:pPr>
        <w:ind w:left="2126" w:hanging="708"/>
      </w:pPr>
      <w:rPr>
        <w:b w:val="0"/>
        <w:bCs w:val="0"/>
        <w:i w:val="0"/>
        <w:iCs w:val="0"/>
        <w:sz w:val="22"/>
        <w:szCs w:val="22"/>
      </w:rPr>
    </w:lvl>
    <w:lvl w:ilvl="4">
      <w:start w:val="1"/>
      <w:numFmt w:val="upperLetter"/>
      <w:lvlText w:val="(%5)"/>
      <w:lvlJc w:val="left"/>
      <w:pPr>
        <w:ind w:left="2836" w:hanging="709"/>
      </w:pPr>
      <w:rPr>
        <w:b w:val="0"/>
        <w:bCs w:val="0"/>
        <w:i w:val="0"/>
        <w:iCs w:val="0"/>
      </w:rPr>
    </w:lvl>
    <w:lvl w:ilvl="5">
      <w:start w:val="1"/>
      <w:numFmt w:val="decimal"/>
      <w:lvlText w:val="%6)"/>
      <w:lvlJc w:val="left"/>
      <w:pPr>
        <w:ind w:left="3544" w:hanging="708.0000000000009"/>
      </w:pPr>
      <w:rPr/>
    </w:lvl>
    <w:lvl w:ilvl="6">
      <w:start w:val="1"/>
      <w:numFmt w:val="decimal"/>
      <w:lvlText w:val="%7%3)"/>
      <w:lvlJc w:val="left"/>
      <w:pPr>
        <w:ind w:left="2714" w:hanging="1296.0000000000005"/>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3">
    <w:lvl w:ilvl="0">
      <w:start w:val="23"/>
      <w:numFmt w:val="decimal"/>
      <w:lvlText w:val="%1"/>
      <w:lvlJc w:val="left"/>
      <w:pPr>
        <w:ind w:left="709" w:hanging="709"/>
      </w:pPr>
      <w:rPr>
        <w:b w:val="1"/>
        <w:bCs w:val="1"/>
      </w:rPr>
    </w:lvl>
    <w:lvl w:ilvl="1">
      <w:start w:val="1"/>
      <w:numFmt w:val="decimal"/>
      <w:lvlText w:val="%2."/>
      <w:lvlJc w:val="left"/>
      <w:pPr>
        <w:ind w:left="709" w:hanging="709"/>
      </w:pPr>
      <w:rPr>
        <w:b w:val="0"/>
        <w:bCs w:val="0"/>
        <w:i w:val="0"/>
        <w:iCs w:val="0"/>
        <w:color w:val="000000"/>
        <w:sz w:val="22"/>
        <w:szCs w:val="22"/>
      </w:rPr>
    </w:lvl>
    <w:lvl w:ilvl="2">
      <w:start w:val="1"/>
      <w:numFmt w:val="lowerLetter"/>
      <w:lvlText w:val="(%3)"/>
      <w:lvlJc w:val="left"/>
      <w:pPr>
        <w:ind w:left="809" w:hanging="709"/>
      </w:pPr>
      <w:rPr>
        <w:b w:val="0"/>
        <w:bCs w:val="0"/>
        <w:i w:val="0"/>
        <w:iCs w:val="0"/>
        <w:sz w:val="22"/>
        <w:szCs w:val="22"/>
      </w:rPr>
    </w:lvl>
    <w:lvl w:ilvl="3">
      <w:start w:val="1"/>
      <w:numFmt w:val="lowerRoman"/>
      <w:lvlText w:val="(%4)"/>
      <w:lvlJc w:val="left"/>
      <w:pPr>
        <w:ind w:left="2126" w:hanging="708"/>
      </w:pPr>
      <w:rPr>
        <w:b w:val="0"/>
        <w:bCs w:val="0"/>
        <w:i w:val="0"/>
        <w:iCs w:val="0"/>
        <w:sz w:val="22"/>
        <w:szCs w:val="22"/>
      </w:rPr>
    </w:lvl>
    <w:lvl w:ilvl="4">
      <w:start w:val="1"/>
      <w:numFmt w:val="upperLetter"/>
      <w:lvlText w:val="(%5)"/>
      <w:lvlJc w:val="left"/>
      <w:pPr>
        <w:ind w:left="2836" w:hanging="709"/>
      </w:pPr>
      <w:rPr>
        <w:b w:val="0"/>
        <w:bCs w:val="0"/>
        <w:i w:val="0"/>
        <w:iCs w:val="0"/>
      </w:rPr>
    </w:lvl>
    <w:lvl w:ilvl="5">
      <w:start w:val="1"/>
      <w:numFmt w:val="decimal"/>
      <w:lvlText w:val="%6)"/>
      <w:lvlJc w:val="left"/>
      <w:pPr>
        <w:ind w:left="3544" w:hanging="708.0000000000009"/>
      </w:pPr>
      <w:rPr/>
    </w:lvl>
    <w:lvl w:ilvl="6">
      <w:start w:val="1"/>
      <w:numFmt w:val="decimal"/>
      <w:lvlText w:val="%7%3)"/>
      <w:lvlJc w:val="left"/>
      <w:pPr>
        <w:ind w:left="2714" w:hanging="1296.0000000000005"/>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4">
    <w:lvl w:ilvl="0">
      <w:start w:val="23"/>
      <w:numFmt w:val="decimal"/>
      <w:lvlText w:val="%1"/>
      <w:lvlJc w:val="left"/>
      <w:pPr>
        <w:ind w:left="709" w:hanging="709"/>
      </w:pPr>
      <w:rPr>
        <w:b w:val="1"/>
        <w:bCs w:val="1"/>
      </w:rPr>
    </w:lvl>
    <w:lvl w:ilvl="1">
      <w:start w:val="1"/>
      <w:numFmt w:val="decimal"/>
      <w:lvlText w:val="%2."/>
      <w:lvlJc w:val="left"/>
      <w:pPr>
        <w:ind w:left="709" w:hanging="709"/>
      </w:pPr>
      <w:rPr>
        <w:b w:val="0"/>
        <w:bCs w:val="0"/>
        <w:i w:val="0"/>
        <w:iCs w:val="0"/>
        <w:color w:val="000000"/>
        <w:sz w:val="22"/>
        <w:szCs w:val="22"/>
      </w:rPr>
    </w:lvl>
    <w:lvl w:ilvl="2">
      <w:start w:val="1"/>
      <w:numFmt w:val="lowerLetter"/>
      <w:lvlText w:val="(%3)"/>
      <w:lvlJc w:val="left"/>
      <w:pPr>
        <w:ind w:left="809" w:hanging="709"/>
      </w:pPr>
      <w:rPr>
        <w:b w:val="0"/>
        <w:bCs w:val="0"/>
        <w:i w:val="0"/>
        <w:iCs w:val="0"/>
        <w:sz w:val="22"/>
        <w:szCs w:val="22"/>
      </w:rPr>
    </w:lvl>
    <w:lvl w:ilvl="3">
      <w:start w:val="1"/>
      <w:numFmt w:val="lowerRoman"/>
      <w:lvlText w:val="(%4)"/>
      <w:lvlJc w:val="left"/>
      <w:pPr>
        <w:ind w:left="2126" w:hanging="708"/>
      </w:pPr>
      <w:rPr>
        <w:b w:val="0"/>
        <w:bCs w:val="0"/>
        <w:i w:val="0"/>
        <w:iCs w:val="0"/>
        <w:sz w:val="22"/>
        <w:szCs w:val="22"/>
      </w:rPr>
    </w:lvl>
    <w:lvl w:ilvl="4">
      <w:start w:val="1"/>
      <w:numFmt w:val="upperLetter"/>
      <w:lvlText w:val="(%5)"/>
      <w:lvlJc w:val="left"/>
      <w:pPr>
        <w:ind w:left="2836" w:hanging="709"/>
      </w:pPr>
      <w:rPr>
        <w:b w:val="0"/>
        <w:bCs w:val="0"/>
        <w:i w:val="0"/>
        <w:iCs w:val="0"/>
      </w:rPr>
    </w:lvl>
    <w:lvl w:ilvl="5">
      <w:start w:val="1"/>
      <w:numFmt w:val="decimal"/>
      <w:lvlText w:val="%6)"/>
      <w:lvlJc w:val="left"/>
      <w:pPr>
        <w:ind w:left="3544" w:hanging="708.0000000000009"/>
      </w:pPr>
      <w:rPr/>
    </w:lvl>
    <w:lvl w:ilvl="6">
      <w:start w:val="1"/>
      <w:numFmt w:val="decimal"/>
      <w:lvlText w:val="%7%3)"/>
      <w:lvlJc w:val="left"/>
      <w:pPr>
        <w:ind w:left="2714" w:hanging="1296.0000000000005"/>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5">
    <w:lvl w:ilvl="0">
      <w:start w:val="23"/>
      <w:numFmt w:val="decimal"/>
      <w:lvlText w:val="%1"/>
      <w:lvlJc w:val="left"/>
      <w:pPr>
        <w:ind w:left="709" w:hanging="709"/>
      </w:pPr>
      <w:rPr>
        <w:b w:val="1"/>
        <w:bCs w:val="1"/>
      </w:rPr>
    </w:lvl>
    <w:lvl w:ilvl="1">
      <w:start w:val="1"/>
      <w:numFmt w:val="decimal"/>
      <w:lvlText w:val="%2."/>
      <w:lvlJc w:val="left"/>
      <w:pPr>
        <w:ind w:left="709" w:hanging="709"/>
      </w:pPr>
      <w:rPr>
        <w:b w:val="0"/>
        <w:bCs w:val="0"/>
        <w:i w:val="0"/>
        <w:iCs w:val="0"/>
        <w:color w:val="000000"/>
        <w:sz w:val="22"/>
        <w:szCs w:val="22"/>
      </w:rPr>
    </w:lvl>
    <w:lvl w:ilvl="2">
      <w:start w:val="1"/>
      <w:numFmt w:val="lowerLetter"/>
      <w:lvlText w:val="(%3)"/>
      <w:lvlJc w:val="left"/>
      <w:pPr>
        <w:ind w:left="809" w:hanging="709"/>
      </w:pPr>
      <w:rPr>
        <w:b w:val="0"/>
        <w:bCs w:val="0"/>
        <w:i w:val="0"/>
        <w:iCs w:val="0"/>
        <w:sz w:val="22"/>
        <w:szCs w:val="22"/>
      </w:rPr>
    </w:lvl>
    <w:lvl w:ilvl="3">
      <w:start w:val="1"/>
      <w:numFmt w:val="lowerRoman"/>
      <w:lvlText w:val="(%4)"/>
      <w:lvlJc w:val="left"/>
      <w:pPr>
        <w:ind w:left="2126" w:hanging="708"/>
      </w:pPr>
      <w:rPr>
        <w:b w:val="0"/>
        <w:bCs w:val="0"/>
        <w:i w:val="0"/>
        <w:iCs w:val="0"/>
        <w:sz w:val="22"/>
        <w:szCs w:val="22"/>
      </w:rPr>
    </w:lvl>
    <w:lvl w:ilvl="4">
      <w:start w:val="1"/>
      <w:numFmt w:val="upperLetter"/>
      <w:lvlText w:val="(%5)"/>
      <w:lvlJc w:val="left"/>
      <w:pPr>
        <w:ind w:left="2836" w:hanging="709"/>
      </w:pPr>
      <w:rPr>
        <w:b w:val="0"/>
        <w:bCs w:val="0"/>
        <w:i w:val="0"/>
        <w:iCs w:val="0"/>
      </w:rPr>
    </w:lvl>
    <w:lvl w:ilvl="5">
      <w:start w:val="1"/>
      <w:numFmt w:val="decimal"/>
      <w:lvlText w:val="%6)"/>
      <w:lvlJc w:val="left"/>
      <w:pPr>
        <w:ind w:left="3544" w:hanging="708.0000000000009"/>
      </w:pPr>
      <w:rPr/>
    </w:lvl>
    <w:lvl w:ilvl="6">
      <w:start w:val="1"/>
      <w:numFmt w:val="decimal"/>
      <w:lvlText w:val="%7%3)"/>
      <w:lvlJc w:val="left"/>
      <w:pPr>
        <w:ind w:left="2714" w:hanging="1296.0000000000005"/>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6">
    <w:lvl w:ilvl="0">
      <w:start w:val="23"/>
      <w:numFmt w:val="decimal"/>
      <w:lvlText w:val="%1"/>
      <w:lvlJc w:val="left"/>
      <w:pPr>
        <w:ind w:left="709" w:hanging="709"/>
      </w:pPr>
      <w:rPr>
        <w:b w:val="1"/>
        <w:bCs w:val="1"/>
      </w:rPr>
    </w:lvl>
    <w:lvl w:ilvl="1">
      <w:start w:val="1"/>
      <w:numFmt w:val="decimal"/>
      <w:lvlText w:val="%2."/>
      <w:lvlJc w:val="left"/>
      <w:pPr>
        <w:ind w:left="709" w:hanging="709"/>
      </w:pPr>
      <w:rPr>
        <w:b w:val="0"/>
        <w:bCs w:val="0"/>
        <w:i w:val="0"/>
        <w:iCs w:val="0"/>
        <w:color w:val="000000"/>
        <w:sz w:val="22"/>
        <w:szCs w:val="22"/>
      </w:rPr>
    </w:lvl>
    <w:lvl w:ilvl="2">
      <w:start w:val="1"/>
      <w:numFmt w:val="lowerLetter"/>
      <w:lvlText w:val="(%3)"/>
      <w:lvlJc w:val="left"/>
      <w:pPr>
        <w:ind w:left="809" w:hanging="709"/>
      </w:pPr>
      <w:rPr>
        <w:b w:val="0"/>
        <w:bCs w:val="0"/>
        <w:i w:val="0"/>
        <w:iCs w:val="0"/>
        <w:sz w:val="22"/>
        <w:szCs w:val="22"/>
      </w:rPr>
    </w:lvl>
    <w:lvl w:ilvl="3">
      <w:start w:val="1"/>
      <w:numFmt w:val="lowerRoman"/>
      <w:lvlText w:val="(%4)"/>
      <w:lvlJc w:val="left"/>
      <w:pPr>
        <w:ind w:left="2126" w:hanging="708"/>
      </w:pPr>
      <w:rPr>
        <w:b w:val="0"/>
        <w:bCs w:val="0"/>
        <w:i w:val="0"/>
        <w:iCs w:val="0"/>
        <w:sz w:val="22"/>
        <w:szCs w:val="22"/>
      </w:rPr>
    </w:lvl>
    <w:lvl w:ilvl="4">
      <w:start w:val="1"/>
      <w:numFmt w:val="upperLetter"/>
      <w:lvlText w:val="(%5)"/>
      <w:lvlJc w:val="left"/>
      <w:pPr>
        <w:ind w:left="2836" w:hanging="709"/>
      </w:pPr>
      <w:rPr>
        <w:b w:val="0"/>
        <w:bCs w:val="0"/>
        <w:i w:val="0"/>
        <w:iCs w:val="0"/>
      </w:rPr>
    </w:lvl>
    <w:lvl w:ilvl="5">
      <w:start w:val="1"/>
      <w:numFmt w:val="decimal"/>
      <w:lvlText w:val="%6)"/>
      <w:lvlJc w:val="left"/>
      <w:pPr>
        <w:ind w:left="3544" w:hanging="708.0000000000009"/>
      </w:pPr>
      <w:rPr/>
    </w:lvl>
    <w:lvl w:ilvl="6">
      <w:start w:val="1"/>
      <w:numFmt w:val="decimal"/>
      <w:lvlText w:val="%7%3)"/>
      <w:lvlJc w:val="left"/>
      <w:pPr>
        <w:ind w:left="2714" w:hanging="1296.0000000000005"/>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7">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8">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9">
    <w:lvl w:ilvl="0">
      <w:start w:val="23"/>
      <w:numFmt w:val="decimal"/>
      <w:lvlText w:val="%1"/>
      <w:lvlJc w:val="left"/>
      <w:pPr>
        <w:ind w:left="709" w:hanging="709"/>
      </w:pPr>
      <w:rPr>
        <w:b w:val="1"/>
        <w:bCs w:val="1"/>
      </w:rPr>
    </w:lvl>
    <w:lvl w:ilvl="1">
      <w:start w:val="1"/>
      <w:numFmt w:val="decimal"/>
      <w:lvlText w:val="%2."/>
      <w:lvlJc w:val="left"/>
      <w:pPr>
        <w:ind w:left="709" w:hanging="709"/>
      </w:pPr>
      <w:rPr>
        <w:b w:val="0"/>
        <w:bCs w:val="0"/>
        <w:i w:val="0"/>
        <w:iCs w:val="0"/>
        <w:color w:val="000000"/>
        <w:sz w:val="22"/>
        <w:szCs w:val="22"/>
      </w:rPr>
    </w:lvl>
    <w:lvl w:ilvl="2">
      <w:start w:val="1"/>
      <w:numFmt w:val="lowerLetter"/>
      <w:lvlText w:val="(%3)"/>
      <w:lvlJc w:val="left"/>
      <w:pPr>
        <w:ind w:left="809" w:hanging="709"/>
      </w:pPr>
      <w:rPr>
        <w:b w:val="0"/>
        <w:bCs w:val="0"/>
        <w:i w:val="0"/>
        <w:iCs w:val="0"/>
        <w:sz w:val="22"/>
        <w:szCs w:val="22"/>
      </w:rPr>
    </w:lvl>
    <w:lvl w:ilvl="3">
      <w:start w:val="1"/>
      <w:numFmt w:val="lowerRoman"/>
      <w:lvlText w:val="(%4)"/>
      <w:lvlJc w:val="left"/>
      <w:pPr>
        <w:ind w:left="2126" w:hanging="708"/>
      </w:pPr>
      <w:rPr>
        <w:b w:val="0"/>
        <w:bCs w:val="0"/>
        <w:i w:val="0"/>
        <w:iCs w:val="0"/>
        <w:sz w:val="22"/>
        <w:szCs w:val="22"/>
      </w:rPr>
    </w:lvl>
    <w:lvl w:ilvl="4">
      <w:start w:val="1"/>
      <w:numFmt w:val="upperLetter"/>
      <w:lvlText w:val="(%5)"/>
      <w:lvlJc w:val="left"/>
      <w:pPr>
        <w:ind w:left="2836" w:hanging="709"/>
      </w:pPr>
      <w:rPr>
        <w:b w:val="0"/>
        <w:bCs w:val="0"/>
        <w:i w:val="0"/>
        <w:iCs w:val="0"/>
      </w:rPr>
    </w:lvl>
    <w:lvl w:ilvl="5">
      <w:start w:val="1"/>
      <w:numFmt w:val="decimal"/>
      <w:lvlText w:val="%6)"/>
      <w:lvlJc w:val="left"/>
      <w:pPr>
        <w:ind w:left="3544" w:hanging="708.0000000000009"/>
      </w:pPr>
      <w:rPr/>
    </w:lvl>
    <w:lvl w:ilvl="6">
      <w:start w:val="1"/>
      <w:numFmt w:val="decimal"/>
      <w:lvlText w:val="%7%3)"/>
      <w:lvlJc w:val="left"/>
      <w:pPr>
        <w:ind w:left="2714" w:hanging="1296.0000000000005"/>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10">
    <w:lvl w:ilvl="0">
      <w:start w:val="1"/>
      <w:numFmt w:val="decimal"/>
      <w:lvlText w:val="Schedule %1"/>
      <w:lvlJc w:val="left"/>
      <w:pPr>
        <w:ind w:left="360" w:hanging="360"/>
      </w:pPr>
      <w:rPr>
        <w:color w:val="000000"/>
      </w:rPr>
    </w:lvl>
    <w:lvl w:ilvl="1">
      <w:start w:val="1"/>
      <w:numFmt w:val="decimal"/>
      <w:lvlText w:val="Part %2"/>
      <w:lvlJc w:val="left"/>
      <w:pPr>
        <w:ind w:left="357" w:hanging="357"/>
      </w:pPr>
      <w:rPr/>
    </w:lvl>
    <w:lvl w:ilvl="2">
      <w:start w:val="1"/>
      <w:numFmt w:val="decimal"/>
      <w:lvlText w:val="%3."/>
      <w:lvlJc w:val="left"/>
      <w:pPr>
        <w:ind w:left="720" w:hanging="720"/>
      </w:pPr>
      <w:rPr>
        <w:b w:val="0"/>
        <w:bCs w:val="0"/>
        <w:color w:val="000000"/>
      </w:rPr>
    </w:lvl>
    <w:lvl w:ilvl="3">
      <w:start w:val="1"/>
      <w:numFmt w:val="decimal"/>
      <w:lvlText w:val="%3.%4"/>
      <w:lvlJc w:val="left"/>
      <w:pPr>
        <w:ind w:left="720" w:hanging="720"/>
      </w:pPr>
      <w:rPr>
        <w:b w:val="0"/>
        <w:bCs w:val="0"/>
        <w:color w:val="000000"/>
      </w:rPr>
    </w:lvl>
    <w:lvl w:ilvl="4">
      <w:start w:val="1"/>
      <w:numFmt w:val="lowerLetter"/>
      <w:lvlText w:val="(%5)"/>
      <w:lvlJc w:val="left"/>
      <w:pPr>
        <w:ind w:left="1555" w:hanging="561"/>
      </w:pPr>
      <w:rPr/>
    </w:lvl>
    <w:lvl w:ilvl="5">
      <w:start w:val="1"/>
      <w:numFmt w:val="lowerRoman"/>
      <w:lvlText w:val="(%6)"/>
      <w:lvlJc w:val="left"/>
      <w:pPr>
        <w:ind w:left="2275" w:hanging="576"/>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2">
    <w:lvl w:ilvl="0">
      <w:start w:val="23"/>
      <w:numFmt w:val="decimal"/>
      <w:lvlText w:val="%1"/>
      <w:lvlJc w:val="left"/>
      <w:pPr>
        <w:ind w:left="709" w:hanging="709"/>
      </w:pPr>
      <w:rPr>
        <w:b w:val="1"/>
        <w:bCs w:val="1"/>
      </w:rPr>
    </w:lvl>
    <w:lvl w:ilvl="1">
      <w:start w:val="1"/>
      <w:numFmt w:val="decimal"/>
      <w:lvlText w:val="%2."/>
      <w:lvlJc w:val="left"/>
      <w:pPr>
        <w:ind w:left="709" w:hanging="709"/>
      </w:pPr>
      <w:rPr>
        <w:b w:val="0"/>
        <w:bCs w:val="0"/>
        <w:i w:val="0"/>
        <w:iCs w:val="0"/>
        <w:color w:val="000000"/>
        <w:sz w:val="22"/>
        <w:szCs w:val="22"/>
      </w:rPr>
    </w:lvl>
    <w:lvl w:ilvl="2">
      <w:start w:val="1"/>
      <w:numFmt w:val="lowerLetter"/>
      <w:lvlText w:val="(%3)"/>
      <w:lvlJc w:val="left"/>
      <w:pPr>
        <w:ind w:left="809" w:hanging="709"/>
      </w:pPr>
      <w:rPr>
        <w:b w:val="0"/>
        <w:bCs w:val="0"/>
        <w:i w:val="0"/>
        <w:iCs w:val="0"/>
        <w:sz w:val="22"/>
        <w:szCs w:val="22"/>
      </w:rPr>
    </w:lvl>
    <w:lvl w:ilvl="3">
      <w:start w:val="1"/>
      <w:numFmt w:val="lowerRoman"/>
      <w:lvlText w:val="(%4)"/>
      <w:lvlJc w:val="left"/>
      <w:pPr>
        <w:ind w:left="2126" w:hanging="708"/>
      </w:pPr>
      <w:rPr>
        <w:b w:val="0"/>
        <w:bCs w:val="0"/>
        <w:i w:val="0"/>
        <w:iCs w:val="0"/>
        <w:sz w:val="22"/>
        <w:szCs w:val="22"/>
      </w:rPr>
    </w:lvl>
    <w:lvl w:ilvl="4">
      <w:start w:val="1"/>
      <w:numFmt w:val="upperLetter"/>
      <w:lvlText w:val="(%5)"/>
      <w:lvlJc w:val="left"/>
      <w:pPr>
        <w:ind w:left="2836" w:hanging="709"/>
      </w:pPr>
      <w:rPr>
        <w:b w:val="0"/>
        <w:bCs w:val="0"/>
        <w:i w:val="0"/>
        <w:iCs w:val="0"/>
      </w:rPr>
    </w:lvl>
    <w:lvl w:ilvl="5">
      <w:start w:val="1"/>
      <w:numFmt w:val="decimal"/>
      <w:lvlText w:val="%6)"/>
      <w:lvlJc w:val="left"/>
      <w:pPr>
        <w:ind w:left="3544" w:hanging="708.0000000000009"/>
      </w:pPr>
      <w:rPr/>
    </w:lvl>
    <w:lvl w:ilvl="6">
      <w:start w:val="1"/>
      <w:numFmt w:val="decimal"/>
      <w:lvlText w:val="%7%3)"/>
      <w:lvlJc w:val="left"/>
      <w:pPr>
        <w:ind w:left="2714" w:hanging="1296.0000000000005"/>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13">
    <w:lvl w:ilvl="0">
      <w:start w:val="23"/>
      <w:numFmt w:val="decimal"/>
      <w:lvlText w:val="%1"/>
      <w:lvlJc w:val="left"/>
      <w:pPr>
        <w:ind w:left="709" w:hanging="709"/>
      </w:pPr>
      <w:rPr>
        <w:b w:val="1"/>
        <w:bCs w:val="1"/>
      </w:rPr>
    </w:lvl>
    <w:lvl w:ilvl="1">
      <w:start w:val="1"/>
      <w:numFmt w:val="decimal"/>
      <w:lvlText w:val="%2."/>
      <w:lvlJc w:val="left"/>
      <w:pPr>
        <w:ind w:left="709" w:hanging="709"/>
      </w:pPr>
      <w:rPr>
        <w:b w:val="0"/>
        <w:bCs w:val="0"/>
        <w:i w:val="0"/>
        <w:iCs w:val="0"/>
        <w:color w:val="000000"/>
        <w:sz w:val="22"/>
        <w:szCs w:val="22"/>
      </w:rPr>
    </w:lvl>
    <w:lvl w:ilvl="2">
      <w:start w:val="1"/>
      <w:numFmt w:val="lowerLetter"/>
      <w:lvlText w:val="(%3)"/>
      <w:lvlJc w:val="left"/>
      <w:pPr>
        <w:ind w:left="809" w:hanging="709"/>
      </w:pPr>
      <w:rPr>
        <w:b w:val="0"/>
        <w:bCs w:val="0"/>
        <w:i w:val="0"/>
        <w:iCs w:val="0"/>
        <w:sz w:val="22"/>
        <w:szCs w:val="22"/>
      </w:rPr>
    </w:lvl>
    <w:lvl w:ilvl="3">
      <w:start w:val="1"/>
      <w:numFmt w:val="lowerRoman"/>
      <w:lvlText w:val="(%4)"/>
      <w:lvlJc w:val="left"/>
      <w:pPr>
        <w:ind w:left="2126" w:hanging="708"/>
      </w:pPr>
      <w:rPr>
        <w:b w:val="0"/>
        <w:bCs w:val="0"/>
        <w:i w:val="0"/>
        <w:iCs w:val="0"/>
        <w:sz w:val="22"/>
        <w:szCs w:val="22"/>
      </w:rPr>
    </w:lvl>
    <w:lvl w:ilvl="4">
      <w:start w:val="1"/>
      <w:numFmt w:val="upperLetter"/>
      <w:lvlText w:val="(%5)"/>
      <w:lvlJc w:val="left"/>
      <w:pPr>
        <w:ind w:left="2836" w:hanging="709"/>
      </w:pPr>
      <w:rPr>
        <w:b w:val="0"/>
        <w:bCs w:val="0"/>
        <w:i w:val="0"/>
        <w:iCs w:val="0"/>
      </w:rPr>
    </w:lvl>
    <w:lvl w:ilvl="5">
      <w:start w:val="1"/>
      <w:numFmt w:val="decimal"/>
      <w:lvlText w:val="%6)"/>
      <w:lvlJc w:val="left"/>
      <w:pPr>
        <w:ind w:left="3544" w:hanging="708.0000000000009"/>
      </w:pPr>
      <w:rPr/>
    </w:lvl>
    <w:lvl w:ilvl="6">
      <w:start w:val="1"/>
      <w:numFmt w:val="decimal"/>
      <w:lvlText w:val="%7%3)"/>
      <w:lvlJc w:val="left"/>
      <w:pPr>
        <w:ind w:left="2714" w:hanging="1296.0000000000005"/>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spacing w:after="240" w:line="240" w:lineRule="auto"/>
      <w:ind w:left="567" w:hanging="567"/>
      <w:jc w:val="both"/>
    </w:pPr>
    <w:rPr>
      <w:rFonts w:ascii="Arial" w:cs="Arial" w:eastAsia="Arial" w:hAnsi="Arial"/>
    </w:rPr>
  </w:style>
  <w:style w:type="paragraph" w:styleId="Heading2">
    <w:name w:val="heading 2"/>
    <w:basedOn w:val="Normal"/>
    <w:next w:val="Normal"/>
    <w:pPr>
      <w:keepNext w:val="1"/>
      <w:keepLines w:val="1"/>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bCs w:val="1"/>
      <w:color w:val="000000"/>
      <w:sz w:val="26"/>
      <w:szCs w:val="26"/>
    </w:rPr>
  </w:style>
  <w:style w:type="paragraph" w:styleId="Heading3">
    <w:name w:val="heading 3"/>
    <w:basedOn w:val="Normal"/>
    <w:next w:val="Normal"/>
    <w:pPr>
      <w:keepNext w:val="1"/>
      <w:keepLines w:val="1"/>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bCs w:val="1"/>
      <w:color w:val="000000"/>
    </w:rPr>
  </w:style>
  <w:style w:type="paragraph" w:styleId="Heading4">
    <w:name w:val="heading 4"/>
    <w:basedOn w:val="Normal"/>
    <w:next w:val="Normal"/>
    <w:pPr>
      <w:spacing w:after="240" w:line="240" w:lineRule="auto"/>
      <w:ind w:left="2268" w:hanging="850"/>
      <w:jc w:val="both"/>
    </w:pPr>
    <w:rPr>
      <w:rFonts w:ascii="Arial" w:cs="Arial" w:eastAsia="Arial" w:hAnsi="Arial"/>
    </w:rPr>
  </w:style>
  <w:style w:type="paragraph" w:styleId="Heading5">
    <w:name w:val="heading 5"/>
    <w:basedOn w:val="Normal"/>
    <w:next w:val="Normal"/>
    <w:pPr>
      <w:spacing w:after="240" w:line="240" w:lineRule="auto"/>
      <w:ind w:left="1985" w:hanging="566.9999999999999"/>
      <w:jc w:val="both"/>
    </w:pPr>
    <w:rPr>
      <w:rFonts w:ascii="Arial" w:cs="Arial" w:eastAsia="Arial" w:hAnsi="Arial"/>
    </w:rPr>
  </w:style>
  <w:style w:type="paragraph" w:styleId="Heading6">
    <w:name w:val="heading 6"/>
    <w:basedOn w:val="Normal"/>
    <w:next w:val="Normal"/>
    <w:pPr>
      <w:spacing w:after="240" w:line="240" w:lineRule="auto"/>
      <w:ind w:left="4320" w:hanging="720"/>
      <w:jc w:val="both"/>
    </w:pPr>
    <w:rPr>
      <w:rFonts w:ascii="Arial" w:cs="Arial" w:eastAsia="Arial" w:hAnsi="Arial"/>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header" Target="header2.xml"/><Relationship Id="rId7" Type="http://schemas.openxmlformats.org/officeDocument/2006/relationships/header" Target="header1.xml"/><Relationship Id="rId8" Type="http://schemas.openxmlformats.org/officeDocument/2006/relationships/footer" Target="footer2.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